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docProps/core.xml" ContentType="application/vnd.openxmlformats-package.core-properties+xml"/>
  <Override PartName="/docProps/app.xml" ContentType="application/vnd.openxmlformats-officedocument.extended-properties+xml"/>
  <Override PartName="/word/header5.xml" ContentType="application/vnd.openxmlformats-officedocument.wordprocessingml.head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36"/>
        <w:jc w:val="right"/>
        <w:rPr>
          <w:rFonts w:ascii="宋体" w:hAnsi="宋体" w:cs="宋体"/>
        </w:rPr>
      </w:pPr>
      <w:r>
        <w:rPr>
          <w:rFonts w:hint="eastAsia" w:ascii="宋体" w:hAnsi="宋体" w:cs="宋体"/>
        </w:rPr>
        <w:t xml:space="preserve">                                                                                                      </w:t>
      </w:r>
      <w:r>
        <w:rPr>
          <w:rFonts w:hint="eastAsia" w:ascii="宋体" w:hAnsi="宋体" w:cs="宋体"/>
        </w:rPr>
        <mc:AlternateContent>
          <mc:Choice Requires="wpg">
            <w:drawing>
              <wp:inline xmlns:wp="http://schemas.openxmlformats.org/drawingml/2006/wordprocessingDrawing" distT="0" distB="0" distL="0" distR="0">
                <wp:extent cx="2418715" cy="833120"/>
                <wp:effectExtent l="0" t="0" r="0" b="0"/>
                <wp:docPr id="2" name="图片 4"/>
                <wp:cNvGraphicFramePr/>
                <a:graphic xmlns:a="http://schemas.openxmlformats.org/drawingml/2006/main">
                  <a:graphicData uri="http://schemas.openxmlformats.org/drawingml/2006/picture">
                    <pic:pic xmlns:pic="http://schemas.openxmlformats.org/drawingml/2006/picture">
                      <pic:nvPicPr>
                        <pic:cNvPr id="1" name="图片 4"/>
                        <pic:cNvPicPr/>
                        <pic:nvPr/>
                      </pic:nvPicPr>
                      <pic:blipFill>
                        <a:blip r:embed="rId19"/>
                        <a:stretch/>
                      </pic:blipFill>
                      <pic:spPr bwMode="auto">
                        <a:xfrm>
                          <a:off x="0" y="0"/>
                          <a:ext cx="2419312" cy="833293"/>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190.4pt;height:65.6pt;mso-wrap-distance-left:0.0pt;mso-wrap-distance-top:0.0pt;mso-wrap-distance-right:0.0pt;mso-wrap-distance-bottom:0.0pt;" stroked="f">
                <v:path textboxrect="0,0,0,0"/>
                <v:imagedata r:id="rId19" o:title=""/>
              </v:shape>
            </w:pict>
          </mc:Fallback>
        </mc:AlternateContent>
      </w:r>
      <w:r/>
    </w:p>
    <w:p>
      <w:pPr>
        <w:pStyle w:val="836"/>
        <w:rPr>
          <w:rFonts w:ascii="宋体" w:hAnsi="宋体" w:cs="宋体"/>
        </w:rPr>
      </w:pPr>
      <w:r>
        <w:rPr>
          <w:rFonts w:ascii="宋体" w:hAnsi="宋体" w:cs="宋体"/>
        </w:rPr>
      </w:r>
      <w:r/>
    </w:p>
    <w:p>
      <w:pPr>
        <w:pStyle w:val="836"/>
        <w:rPr>
          <w:rFonts w:ascii="宋体" w:hAnsi="宋体" w:cs="宋体"/>
        </w:rPr>
      </w:pPr>
      <w:r>
        <w:rPr>
          <w:rFonts w:hint="eastAsia" w:ascii="宋体" w:hAnsi="宋体" w:cs="宋体"/>
        </w:rPr>
        <w:t xml:space="preserve"> </w:t>
      </w:r>
      <w:r/>
    </w:p>
    <w:p>
      <w:pPr>
        <w:pStyle w:val="836"/>
        <w:rPr>
          <w:rFonts w:ascii="宋体" w:hAnsi="宋体" w:cs="宋体"/>
        </w:rPr>
      </w:pPr>
      <w:r>
        <w:rPr>
          <w:rFonts w:ascii="宋体" w:hAnsi="宋体" w:cs="宋体"/>
        </w:rPr>
      </w:r>
      <w:r/>
    </w:p>
    <w:p>
      <w:pPr>
        <w:pStyle w:val="836"/>
        <w:rPr>
          <w:rFonts w:ascii="宋体" w:hAnsi="宋体" w:cs="宋体"/>
        </w:rPr>
      </w:pPr>
      <w:r>
        <w:rPr>
          <w:rFonts w:ascii="宋体" w:hAnsi="宋体" w:cs="宋体"/>
        </w:rPr>
      </w:r>
      <w:r/>
    </w:p>
    <w:p>
      <w:pPr>
        <w:pStyle w:val="836"/>
        <w:ind w:firstLine="320"/>
        <w:jc w:val="right"/>
        <w:rPr>
          <w:rFonts w:ascii="宋体" w:hAnsi="宋体" w:cs="宋体"/>
        </w:rPr>
      </w:pPr>
      <w:r>
        <w:rPr>
          <w:rFonts w:hint="eastAsia" w:ascii="宋体" w:hAnsi="宋体" w:cs="宋体"/>
          <w:sz w:val="32"/>
        </w:rPr>
        <w:t xml:space="preserve">           </w:t>
      </w:r>
      <w:r/>
    </w:p>
    <w:p>
      <w:pPr>
        <w:pStyle w:val="836"/>
        <w:jc w:val="center"/>
        <w:rPr>
          <w:rFonts w:ascii="宋体" w:hAnsi="宋体" w:cs="宋体"/>
          <w:b/>
          <w:spacing w:val="76"/>
          <w:sz w:val="96"/>
          <w:szCs w:val="22"/>
        </w:rPr>
      </w:pPr>
      <w:r>
        <w:rPr>
          <w:rFonts w:hint="eastAsia" w:ascii="宋体" w:hAnsi="宋体" w:cs="宋体"/>
          <w:spacing w:val="76"/>
          <w:sz w:val="144"/>
        </w:rPr>
        <w:t xml:space="preserve">招标文件</w:t>
      </w:r>
      <w:r/>
    </w:p>
    <w:p>
      <w:pPr>
        <w:pStyle w:val="1113"/>
        <w:jc w:val="right"/>
        <w:rPr>
          <w:rFonts w:ascii="宋体" w:hAnsi="宋体" w:cs="宋体"/>
          <w:spacing w:val="76"/>
          <w:sz w:val="156"/>
        </w:rPr>
      </w:pPr>
      <w:r>
        <w:rPr>
          <w:rFonts w:ascii="宋体" w:hAnsi="宋体" w:cs="宋体"/>
          <w:spacing w:val="76"/>
          <w:sz w:val="156"/>
        </w:rPr>
      </w:r>
      <w:r/>
    </w:p>
    <w:p>
      <w:pPr>
        <w:pStyle w:val="836"/>
        <w:rPr>
          <w:rFonts w:ascii="宋体" w:hAnsi="宋体" w:cs="宋体"/>
        </w:rPr>
      </w:pPr>
      <w:r>
        <w:rPr>
          <w:rFonts w:ascii="宋体" w:hAnsi="宋体" w:cs="宋体"/>
        </w:rPr>
      </w:r>
      <w:r/>
    </w:p>
    <w:p>
      <w:pPr>
        <w:pStyle w:val="971"/>
        <w:rPr>
          <w:rFonts w:ascii="宋体" w:hAnsi="宋体" w:cs="宋体"/>
        </w:rPr>
      </w:pPr>
      <w:r>
        <w:rPr>
          <w:rFonts w:ascii="宋体" w:hAnsi="宋体" w:cs="宋体"/>
        </w:rPr>
      </w:r>
      <w:r/>
    </w:p>
    <w:p>
      <w:pPr>
        <w:pStyle w:val="836"/>
        <w:rPr>
          <w:rFonts w:ascii="宋体" w:hAnsi="宋体" w:cs="宋体"/>
        </w:rPr>
      </w:pPr>
      <w:r>
        <w:rPr>
          <w:rFonts w:ascii="宋体" w:hAnsi="宋体" w:cs="宋体"/>
        </w:rPr>
      </w:r>
      <w:r/>
    </w:p>
    <w:p>
      <w:pPr>
        <w:pStyle w:val="836"/>
        <w:ind w:firstLine="1285"/>
        <w:spacing w:line="500" w:lineRule="exact"/>
        <w:rPr>
          <w:rFonts w:hint="eastAsia" w:ascii="宋体" w:hAnsi="宋体" w:eastAsia="宋体" w:cs="宋体"/>
          <w:b/>
          <w:bCs/>
          <w:sz w:val="32"/>
          <w:szCs w:val="32"/>
          <w:lang w:val="en-US" w:eastAsia="zh-CN"/>
        </w:rPr>
      </w:pPr>
      <w:r>
        <w:rPr>
          <w:rFonts w:hint="eastAsia" w:ascii="宋体" w:hAnsi="宋体" w:cs="宋体"/>
          <w:b/>
          <w:bCs/>
          <w:sz w:val="32"/>
          <w:szCs w:val="32"/>
        </w:rPr>
        <w:t xml:space="preserve">项目名称：徐州市第一人民医院口服药单剂量分包机</w:t>
      </w:r>
      <w:r>
        <w:rPr>
          <w:rFonts w:hint="eastAsia" w:ascii="宋体" w:hAnsi="宋体" w:cs="宋体"/>
          <w:b/>
          <w:bCs/>
          <w:sz w:val="32"/>
          <w:szCs w:val="32"/>
          <w:lang w:val="en-US" w:eastAsia="zh-CN"/>
        </w:rPr>
        <w:t xml:space="preserve">项目</w:t>
      </w:r>
      <w:r/>
    </w:p>
    <w:p>
      <w:pPr>
        <w:pStyle w:val="836"/>
        <w:ind w:firstLine="1285"/>
        <w:spacing w:line="500" w:lineRule="exact"/>
        <w:rPr>
          <w:rFonts w:hint="eastAsia" w:ascii="宋体" w:hAnsi="宋体" w:eastAsia="宋体" w:cs="宋体"/>
          <w:b/>
          <w:bCs/>
          <w:sz w:val="32"/>
          <w:szCs w:val="32"/>
          <w:lang w:eastAsia="zh-CN"/>
        </w:rPr>
      </w:pPr>
      <w:r>
        <w:rPr>
          <w:rFonts w:hint="eastAsia" w:ascii="宋体" w:hAnsi="宋体" w:cs="宋体"/>
          <w:b/>
          <w:bCs/>
          <w:sz w:val="32"/>
          <w:szCs w:val="32"/>
        </w:rPr>
        <w:t xml:space="preserve">项目编号：</w:t>
      </w:r>
      <w:r>
        <w:rPr>
          <w:rFonts w:hint="eastAsia" w:ascii="宋体" w:hAnsi="宋体" w:cs="宋体"/>
          <w:sz w:val="32"/>
          <w:szCs w:val="32"/>
          <w:lang w:eastAsia="zh-CN"/>
        </w:rPr>
        <w:t xml:space="preserve">JSZC-320300-JSZR-G2025-0124</w:t>
      </w:r>
      <w:r/>
    </w:p>
    <w:p>
      <w:pPr>
        <w:pStyle w:val="836"/>
        <w:ind w:firstLine="1285"/>
        <w:spacing w:line="500" w:lineRule="exact"/>
        <w:rPr>
          <w:rFonts w:ascii="宋体" w:hAnsi="宋体" w:cs="宋体"/>
          <w:b/>
          <w:bCs/>
          <w:sz w:val="32"/>
          <w:szCs w:val="32"/>
        </w:rPr>
      </w:pPr>
      <w:r>
        <w:rPr>
          <w:rFonts w:hint="eastAsia" w:ascii="宋体" w:hAnsi="宋体" w:cs="宋体"/>
          <w:b/>
          <w:bCs/>
          <w:sz w:val="32"/>
          <w:szCs w:val="32"/>
        </w:rPr>
        <w:t xml:space="preserve">采 购 人：徐州市第一人民医院</w:t>
      </w:r>
      <w:r/>
    </w:p>
    <w:p>
      <w:pPr>
        <w:pStyle w:val="978"/>
        <w:ind w:left="0" w:right="1470"/>
        <w:rPr>
          <w:rFonts w:ascii="宋体" w:hAnsi="宋体" w:cs="宋体"/>
          <w:sz w:val="28"/>
          <w:szCs w:val="28"/>
        </w:rPr>
      </w:pPr>
      <w:r>
        <w:rPr>
          <w:rFonts w:ascii="宋体" w:hAnsi="宋体" w:cs="宋体"/>
          <w:sz w:val="28"/>
          <w:szCs w:val="28"/>
        </w:rPr>
      </w:r>
      <w:r/>
    </w:p>
    <w:p>
      <w:pPr>
        <w:pStyle w:val="978"/>
        <w:ind w:left="0" w:right="1470"/>
        <w:rPr>
          <w:rFonts w:ascii="宋体" w:hAnsi="宋体" w:cs="宋体"/>
          <w:sz w:val="28"/>
          <w:szCs w:val="28"/>
        </w:rPr>
      </w:pPr>
      <w:r>
        <w:rPr>
          <w:rFonts w:ascii="宋体" w:hAnsi="宋体" w:cs="宋体"/>
          <w:sz w:val="28"/>
          <w:szCs w:val="28"/>
        </w:rPr>
      </w:r>
      <w:r/>
    </w:p>
    <w:p>
      <w:pPr>
        <w:pStyle w:val="978"/>
        <w:ind w:left="0" w:right="1470"/>
        <w:rPr>
          <w:rFonts w:ascii="宋体" w:hAnsi="宋体" w:cs="宋体"/>
          <w:sz w:val="28"/>
          <w:szCs w:val="28"/>
        </w:rPr>
      </w:pPr>
      <w:r>
        <w:rPr>
          <w:rFonts w:ascii="宋体" w:hAnsi="宋体" w:cs="宋体"/>
          <w:sz w:val="28"/>
          <w:szCs w:val="28"/>
        </w:rPr>
      </w:r>
      <w:r/>
    </w:p>
    <w:p>
      <w:pPr>
        <w:pStyle w:val="978"/>
        <w:ind w:left="0" w:right="1470"/>
        <w:rPr>
          <w:rFonts w:ascii="宋体" w:hAnsi="宋体" w:cs="宋体"/>
          <w:sz w:val="32"/>
          <w:szCs w:val="32"/>
        </w:rPr>
      </w:pPr>
      <w:r>
        <w:rPr>
          <w:rFonts w:ascii="宋体" w:hAnsi="宋体" w:cs="宋体"/>
          <w:sz w:val="32"/>
          <w:szCs w:val="32"/>
        </w:rPr>
      </w:r>
      <w:r/>
    </w:p>
    <w:p>
      <w:pPr>
        <w:pStyle w:val="904"/>
        <w:rPr>
          <w:rFonts w:ascii="宋体" w:hAnsi="宋体" w:eastAsia="宋体" w:cs="宋体"/>
          <w:sz w:val="24"/>
          <w:szCs w:val="24"/>
        </w:rPr>
      </w:pPr>
      <w:r>
        <w:rPr>
          <w:rFonts w:ascii="宋体" w:hAnsi="宋体" w:eastAsia="宋体" w:cs="宋体"/>
          <w:sz w:val="24"/>
          <w:szCs w:val="24"/>
        </w:rPr>
      </w:r>
      <w:r/>
    </w:p>
    <w:p>
      <w:pPr>
        <w:pStyle w:val="836"/>
        <w:ind w:firstLine="1205"/>
        <w:spacing w:line="500" w:lineRule="exact"/>
        <w:rPr>
          <w:rFonts w:ascii="宋体" w:hAnsi="宋体" w:cs="宋体"/>
          <w:b/>
          <w:bCs/>
          <w:sz w:val="32"/>
          <w:szCs w:val="32"/>
        </w:rPr>
      </w:pPr>
      <w:r>
        <w:rPr>
          <w:rFonts w:hint="eastAsia" w:ascii="宋体" w:hAnsi="宋体" w:cs="宋体"/>
          <w:b/>
          <w:bCs/>
          <w:sz w:val="32"/>
          <w:szCs w:val="32"/>
        </w:rPr>
        <w:t xml:space="preserve">采购代理机构：江苏中瑞建设项目管理有限公司</w:t>
      </w:r>
      <w:r/>
    </w:p>
    <w:p>
      <w:pPr>
        <w:pStyle w:val="962"/>
        <w:ind w:firstLine="0"/>
        <w:jc w:val="center"/>
        <w:spacing w:line="500" w:lineRule="exact"/>
        <w:rPr>
          <w:rFonts w:ascii="宋体" w:hAnsi="宋体" w:cs="宋体"/>
          <w:b/>
          <w:sz w:val="48"/>
          <w:szCs w:val="28"/>
        </w:rPr>
      </w:pPr>
      <w:r>
        <w:rPr>
          <w:rFonts w:hint="eastAsia" w:ascii="宋体" w:hAnsi="宋体" w:cs="宋体"/>
          <w:b/>
          <w:bCs/>
          <w:sz w:val="32"/>
          <w:szCs w:val="32"/>
        </w:rPr>
        <w:t xml:space="preserve">二〇二五年十一月</w:t>
      </w:r>
      <w:r/>
    </w:p>
    <w:p>
      <w:pPr>
        <w:rPr>
          <w:rFonts w:ascii="宋体" w:hAnsi="宋体" w:cs="宋体"/>
          <w:sz w:val="24"/>
        </w:rPr>
        <w:sectPr>
          <w:headerReference w:type="default" r:id="rId9"/>
          <w:footnotePr/>
          <w:endnotePr/>
          <w:type w:val="nextPage"/>
          <w:pgSz w:w="11906" w:h="16838" w:orient="portrait"/>
          <w:pgMar w:top="1474" w:right="1486" w:bottom="1474" w:left="1474" w:header="851" w:footer="992" w:gutter="0"/>
          <w:pgNumType w:start="1"/>
          <w:cols w:num="1" w:sep="0" w:space="1701" w:equalWidth="1"/>
          <w:docGrid w:linePitch="360"/>
        </w:sectPr>
      </w:pPr>
      <w:r>
        <w:rPr>
          <w:rFonts w:ascii="宋体" w:hAnsi="宋体" w:cs="宋体"/>
          <w:sz w:val="24"/>
        </w:rPr>
      </w:r>
      <w:r/>
    </w:p>
    <w:p>
      <w:pPr>
        <w:jc w:val="center"/>
        <w:rPr>
          <w:rFonts w:ascii="宋体" w:hAnsi="宋体" w:cs="宋体"/>
          <w:b/>
          <w:sz w:val="44"/>
        </w:rPr>
        <w:pBdr>
          <w:top w:val="none" w:color="000000" w:sz="0" w:space="0"/>
          <w:left w:val="none" w:color="000000" w:sz="0" w:space="0"/>
          <w:bottom w:val="none" w:color="000000" w:sz="0" w:space="0"/>
          <w:right w:val="none" w:color="000000" w:sz="0" w:space="0"/>
        </w:pBdr>
      </w:pPr>
      <w:r>
        <w:rPr>
          <w:rFonts w:ascii="宋体" w:hAnsi="宋体" w:cs="宋体"/>
          <w:b/>
          <w:sz w:val="44"/>
        </w:rPr>
      </w:r>
      <w:r/>
    </w:p>
    <w:p>
      <w:pPr>
        <w:jc w:val="center"/>
        <w:rPr>
          <w:rFonts w:ascii="宋体" w:hAnsi="宋体" w:cs="宋体"/>
          <w:b/>
          <w:sz w:val="44"/>
        </w:rPr>
        <w:pBdr>
          <w:top w:val="none" w:color="000000" w:sz="0" w:space="0"/>
          <w:left w:val="none" w:color="000000" w:sz="0" w:space="0"/>
          <w:bottom w:val="none" w:color="000000" w:sz="0" w:space="0"/>
          <w:right w:val="none" w:color="000000" w:sz="0" w:space="0"/>
        </w:pBdr>
      </w:pPr>
      <w:r>
        <w:rPr>
          <w:rFonts w:ascii="宋体" w:hAnsi="宋体" w:cs="宋体"/>
          <w:b/>
          <w:sz w:val="44"/>
        </w:rPr>
      </w:r>
      <w:r/>
    </w:p>
    <w:p>
      <w:pPr>
        <w:jc w:val="center"/>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b/>
          <w:sz w:val="44"/>
        </w:rPr>
        <w:t xml:space="preserve">目 录</w:t>
      </w:r>
      <w:r/>
    </w:p>
    <w:p>
      <w:pPr>
        <w:jc w:val="center"/>
        <w:spacing w:line="519" w:lineRule="atLeast"/>
        <w:rPr>
          <w:rFonts w:ascii="宋体" w:hAnsi="宋体" w:cs="宋体"/>
        </w:rPr>
        <w:pBdr>
          <w:top w:val="none" w:color="000000" w:sz="0" w:space="0"/>
          <w:left w:val="none" w:color="000000" w:sz="0" w:space="0"/>
          <w:bottom w:val="none" w:color="000000" w:sz="0" w:space="0"/>
          <w:right w:val="none" w:color="000000" w:sz="0" w:space="0"/>
        </w:pBdr>
      </w:pPr>
      <w:r>
        <w:rPr>
          <w:rFonts w:ascii="宋体" w:hAnsi="宋体" w:cs="宋体"/>
        </w:rPr>
      </w:r>
      <w:r/>
    </w:p>
    <w:p>
      <w:pPr>
        <w:ind w:firstLine="210"/>
        <w:rPr>
          <w:rFonts w:ascii="宋体" w:hAnsi="宋体" w:cs="宋体"/>
        </w:rPr>
        <w:pBdr>
          <w:top w:val="none" w:color="000000" w:sz="0" w:space="0"/>
          <w:left w:val="none" w:color="000000" w:sz="0" w:space="0"/>
          <w:bottom w:val="none" w:color="000000" w:sz="0" w:space="0"/>
          <w:right w:val="none" w:color="000000" w:sz="0" w:space="0"/>
        </w:pBdr>
      </w:pPr>
      <w:r>
        <w:fldChar w:fldCharType="begin"/>
      </w:r>
      <w:r>
        <w:instrText xml:space="preserve"> HYPERLINK "http://jszfcg.jsczt.cn/jszc/onlyoffice/6.4.2-6/web-apps/apps/documenteditor/main/index.html?_dc=6.4.2-6&amp;lang=zh&amp;customer=ONLYOFFICE&amp;frameEditorId=iframePage&amp;parentO</w:instrText>
      </w:r>
      <w:r>
        <w:instrText xml:space="preserve">rigin=http://jszfcg.jsczt.cn#_Toc523404695" \o "http://jszfcg.jsczt.cn/jszc/onlyoffice/6.4.2-6/web-apps/apps/documenteditor/main/index.html?_dc=6.4.2-6&amp;lang=zh&amp;customer=ONLYOFFICE&amp;frameEditorId=iframePage&amp;parentOrigin=http://jszfcg.jsczt.cn#_Toc523404695" </w:instrText>
      </w:r>
      <w:r>
        <w:fldChar w:fldCharType="separate"/>
      </w:r>
      <w:r>
        <w:rPr>
          <w:rStyle w:val="942"/>
          <w:rFonts w:hint="eastAsia" w:ascii="宋体" w:hAnsi="宋体" w:cs="宋体"/>
          <w:color w:val="auto"/>
          <w:sz w:val="30"/>
          <w:u w:val="none"/>
        </w:rPr>
        <w:t xml:space="preserve">第一章  投标邀请</w:t>
      </w:r>
      <w:r>
        <w:rPr>
          <w:rStyle w:val="942"/>
          <w:rFonts w:hint="eastAsia" w:ascii="宋体" w:hAnsi="宋体" w:cs="宋体"/>
          <w:color w:val="auto"/>
          <w:sz w:val="30"/>
          <w:u w:val="none"/>
        </w:rPr>
        <w:fldChar w:fldCharType="end"/>
      </w:r>
      <w:r/>
    </w:p>
    <w:p>
      <w:pPr>
        <w:rPr>
          <w:rFonts w:ascii="宋体" w:hAnsi="宋体" w:cs="宋体"/>
        </w:rPr>
        <w:pBdr>
          <w:top w:val="none" w:color="000000" w:sz="0" w:space="0"/>
          <w:left w:val="none" w:color="000000" w:sz="0" w:space="0"/>
          <w:bottom w:val="none" w:color="000000" w:sz="0" w:space="0"/>
          <w:right w:val="none" w:color="000000" w:sz="0" w:space="0"/>
        </w:pBdr>
      </w:pPr>
      <w:r>
        <w:rPr>
          <w:rFonts w:ascii="宋体" w:hAnsi="宋体" w:cs="宋体"/>
        </w:rPr>
      </w:r>
      <w:r/>
    </w:p>
    <w:p>
      <w:pPr>
        <w:ind w:firstLine="210"/>
        <w:rPr>
          <w:rFonts w:ascii="宋体" w:hAnsi="宋体" w:cs="宋体"/>
        </w:rPr>
        <w:pBdr>
          <w:top w:val="none" w:color="000000" w:sz="0" w:space="0"/>
          <w:left w:val="none" w:color="000000" w:sz="0" w:space="0"/>
          <w:bottom w:val="none" w:color="000000" w:sz="0" w:space="0"/>
          <w:right w:val="none" w:color="000000" w:sz="0" w:space="0"/>
        </w:pBdr>
      </w:pPr>
      <w:r>
        <w:fldChar w:fldCharType="begin"/>
      </w:r>
      <w:r>
        <w:instrText xml:space="preserve"> HYPERLINK "http://jszfcg.jsczt.cn/jszc/onlyoffice/6.4.2-6/web-apps/apps/documenteditor/main/index.html?_dc=6.4.2-6&amp;lang=zh&amp;customer=ONLYOFFICE&amp;frameEditorId=iframePage&amp;parentO</w:instrText>
      </w:r>
      <w:r>
        <w:instrText xml:space="preserve">rigin=http://jszfcg.jsczt.cn#_Toc523404696" \o "http://jszfcg.jsczt.cn/jszc/onlyoffice/6.4.2-6/web-apps/apps/documenteditor/main/index.html?_dc=6.4.2-6&amp;lang=zh&amp;customer=ONLYOFFICE&amp;frameEditorId=iframePage&amp;parentOrigin=http://jszfcg.jsczt.cn#_Toc523404696" </w:instrText>
      </w:r>
      <w:r>
        <w:fldChar w:fldCharType="separate"/>
      </w:r>
      <w:r>
        <w:rPr>
          <w:rStyle w:val="942"/>
          <w:rFonts w:hint="eastAsia" w:ascii="宋体" w:hAnsi="宋体" w:cs="宋体"/>
          <w:color w:val="auto"/>
          <w:sz w:val="30"/>
          <w:u w:val="none"/>
        </w:rPr>
        <w:t xml:space="preserve">第二章  投标人须知</w:t>
      </w:r>
      <w:r>
        <w:rPr>
          <w:rStyle w:val="942"/>
          <w:rFonts w:hint="eastAsia" w:ascii="宋体" w:hAnsi="宋体" w:cs="宋体"/>
          <w:color w:val="auto"/>
          <w:sz w:val="30"/>
          <w:u w:val="none"/>
        </w:rPr>
        <w:fldChar w:fldCharType="end"/>
      </w:r>
      <w:r/>
    </w:p>
    <w:p>
      <w:pPr>
        <w:rPr>
          <w:rFonts w:ascii="宋体" w:hAnsi="宋体" w:cs="宋体"/>
        </w:rPr>
        <w:pBdr>
          <w:top w:val="none" w:color="000000" w:sz="0" w:space="0"/>
          <w:left w:val="none" w:color="000000" w:sz="0" w:space="0"/>
          <w:bottom w:val="none" w:color="000000" w:sz="0" w:space="0"/>
          <w:right w:val="none" w:color="000000" w:sz="0" w:space="0"/>
        </w:pBdr>
      </w:pPr>
      <w:r>
        <w:rPr>
          <w:rFonts w:ascii="宋体" w:hAnsi="宋体" w:cs="宋体"/>
        </w:rPr>
      </w:r>
      <w:r/>
    </w:p>
    <w:p>
      <w:pPr>
        <w:ind w:firstLine="210"/>
        <w:rPr>
          <w:rFonts w:ascii="宋体" w:hAnsi="宋体" w:cs="宋体"/>
        </w:rPr>
        <w:pBdr>
          <w:top w:val="none" w:color="000000" w:sz="0" w:space="0"/>
          <w:left w:val="none" w:color="000000" w:sz="0" w:space="0"/>
          <w:bottom w:val="none" w:color="000000" w:sz="0" w:space="0"/>
          <w:right w:val="none" w:color="000000" w:sz="0" w:space="0"/>
        </w:pBdr>
      </w:pPr>
      <w:r>
        <w:fldChar w:fldCharType="begin"/>
      </w:r>
      <w:r>
        <w:instrText xml:space="preserve"> HYPERLINK "http://jszfcg.jsczt.cn/jszc/onlyoffice/6.4.2-6/web-apps/apps/documenteditor/main/index.html?_dc=6.4.2-6&amp;lang=zh&amp;customer=ONLYOFFICE&amp;frameEditorId=iframePage&amp;parentO</w:instrText>
      </w:r>
      <w:r>
        <w:instrText xml:space="preserve">rigin=http://jszfcg.jsczt.cn#_Toc523404697" \o "http://jszfcg.jsczt.cn/jszc/onlyoffice/6.4.2-6/web-apps/apps/documenteditor/main/index.html?_dc=6.4.2-6&amp;lang=zh&amp;customer=ONLYOFFICE&amp;frameEditorId=iframePage&amp;parentOrigin=http://jszfcg.jsczt.cn#_Toc523404697" </w:instrText>
      </w:r>
      <w:r>
        <w:fldChar w:fldCharType="separate"/>
      </w:r>
      <w:r>
        <w:rPr>
          <w:rStyle w:val="942"/>
          <w:rFonts w:hint="eastAsia" w:ascii="宋体" w:hAnsi="宋体" w:cs="宋体"/>
          <w:color w:val="auto"/>
          <w:sz w:val="30"/>
          <w:u w:val="none"/>
        </w:rPr>
        <w:t xml:space="preserve">第三章  投标资料表</w:t>
      </w:r>
      <w:r>
        <w:rPr>
          <w:rStyle w:val="942"/>
          <w:rFonts w:hint="eastAsia" w:ascii="宋体" w:hAnsi="宋体" w:cs="宋体"/>
          <w:color w:val="auto"/>
          <w:sz w:val="30"/>
          <w:u w:val="none"/>
        </w:rPr>
        <w:fldChar w:fldCharType="end"/>
      </w:r>
      <w:r/>
    </w:p>
    <w:p>
      <w:pPr>
        <w:rPr>
          <w:rFonts w:ascii="宋体" w:hAnsi="宋体" w:cs="宋体"/>
        </w:rPr>
        <w:pBdr>
          <w:top w:val="none" w:color="000000" w:sz="0" w:space="0"/>
          <w:left w:val="none" w:color="000000" w:sz="0" w:space="0"/>
          <w:bottom w:val="none" w:color="000000" w:sz="0" w:space="0"/>
          <w:right w:val="none" w:color="000000" w:sz="0" w:space="0"/>
        </w:pBdr>
      </w:pPr>
      <w:r>
        <w:rPr>
          <w:rFonts w:ascii="宋体" w:hAnsi="宋体" w:cs="宋体"/>
        </w:rPr>
      </w:r>
      <w:r/>
    </w:p>
    <w:p>
      <w:pPr>
        <w:ind w:firstLine="210"/>
        <w:rPr>
          <w:rFonts w:ascii="宋体" w:hAnsi="宋体" w:cs="宋体"/>
        </w:rPr>
        <w:pBdr>
          <w:top w:val="none" w:color="000000" w:sz="0" w:space="0"/>
          <w:left w:val="none" w:color="000000" w:sz="0" w:space="0"/>
          <w:bottom w:val="none" w:color="000000" w:sz="0" w:space="0"/>
          <w:right w:val="none" w:color="000000" w:sz="0" w:space="0"/>
        </w:pBdr>
      </w:pPr>
      <w:r>
        <w:fldChar w:fldCharType="begin"/>
      </w:r>
      <w:r>
        <w:instrText xml:space="preserve"> HYPERLINK "http://jszfcg.jsczt.cn/jszc/onlyoffice/6.4.2-6/web-apps/apps/documenteditor/main/index.html?_dc=6.4.2-6&amp;lang=zh&amp;customer=ONLYOFFICE&amp;frameEditorId=iframePage&amp;parentO</w:instrText>
      </w:r>
      <w:r>
        <w:instrText xml:space="preserve">rigin=http://jszfcg.jsczt.cn#_Toc523404698" \o "http://jszfcg.jsczt.cn/jszc/onlyoffice/6.4.2-6/web-apps/apps/documenteditor/main/index.html?_dc=6.4.2-6&amp;lang=zh&amp;customer=ONLYOFFICE&amp;frameEditorId=iframePage&amp;parentOrigin=http://jszfcg.jsczt.cn#_Toc523404698" </w:instrText>
      </w:r>
      <w:r>
        <w:fldChar w:fldCharType="separate"/>
      </w:r>
      <w:r>
        <w:rPr>
          <w:rStyle w:val="942"/>
          <w:rFonts w:hint="eastAsia" w:ascii="宋体" w:hAnsi="宋体" w:cs="宋体"/>
          <w:color w:val="auto"/>
          <w:sz w:val="30"/>
          <w:u w:val="none"/>
        </w:rPr>
        <w:t xml:space="preserve">第四章  评标标准</w:t>
      </w:r>
      <w:r>
        <w:rPr>
          <w:rStyle w:val="942"/>
          <w:rFonts w:hint="eastAsia" w:ascii="宋体" w:hAnsi="宋体" w:cs="宋体"/>
          <w:color w:val="auto"/>
          <w:sz w:val="30"/>
          <w:u w:val="none"/>
        </w:rPr>
        <w:fldChar w:fldCharType="end"/>
      </w:r>
      <w:r/>
    </w:p>
    <w:p>
      <w:pPr>
        <w:rPr>
          <w:rFonts w:ascii="宋体" w:hAnsi="宋体" w:cs="宋体"/>
        </w:rPr>
        <w:pBdr>
          <w:top w:val="none" w:color="000000" w:sz="0" w:space="0"/>
          <w:left w:val="none" w:color="000000" w:sz="0" w:space="0"/>
          <w:bottom w:val="none" w:color="000000" w:sz="0" w:space="0"/>
          <w:right w:val="none" w:color="000000" w:sz="0" w:space="0"/>
        </w:pBdr>
      </w:pPr>
      <w:r>
        <w:rPr>
          <w:rFonts w:ascii="宋体" w:hAnsi="宋体" w:cs="宋体"/>
        </w:rPr>
      </w:r>
      <w:r/>
    </w:p>
    <w:p>
      <w:pPr>
        <w:ind w:firstLine="210"/>
        <w:rPr>
          <w:rFonts w:ascii="宋体" w:hAnsi="宋体" w:cs="宋体"/>
        </w:rPr>
        <w:pBdr>
          <w:top w:val="none" w:color="000000" w:sz="0" w:space="0"/>
          <w:left w:val="none" w:color="000000" w:sz="0" w:space="0"/>
          <w:bottom w:val="none" w:color="000000" w:sz="0" w:space="0"/>
          <w:right w:val="none" w:color="000000" w:sz="0" w:space="0"/>
        </w:pBdr>
      </w:pPr>
      <w:r>
        <w:fldChar w:fldCharType="begin"/>
      </w:r>
      <w:r>
        <w:instrText xml:space="preserve"> HYPERLINK "http://jszfcg.jsczt.cn/jszc/onlyoffice/6.4.2-6/web-apps/apps/documenteditor/main/index.html?_dc=6.4.2-6&amp;lang=zh&amp;customer=ONLYOFFICE&amp;frameEditorId=iframePage&amp;parentO</w:instrText>
      </w:r>
      <w:r>
        <w:instrText xml:space="preserve">rigin=http://jszfcg.jsczt.cn#_Toc523404699" \o "http://jszfcg.jsczt.cn/jszc/onlyoffice/6.4.2-6/web-apps/apps/documenteditor/main/index.html?_dc=6.4.2-6&amp;lang=zh&amp;customer=ONLYOFFICE&amp;frameEditorId=iframePage&amp;parentOrigin=http://jszfcg.jsczt.cn#_Toc523404699" </w:instrText>
      </w:r>
      <w:r>
        <w:fldChar w:fldCharType="separate"/>
      </w:r>
      <w:r>
        <w:rPr>
          <w:rStyle w:val="942"/>
          <w:rFonts w:hint="eastAsia" w:ascii="宋体" w:hAnsi="宋体" w:cs="宋体"/>
          <w:color w:val="auto"/>
          <w:sz w:val="30"/>
          <w:u w:val="none"/>
        </w:rPr>
        <w:t xml:space="preserve">第五章  拟签订的合同文本</w:t>
      </w:r>
      <w:r>
        <w:rPr>
          <w:rStyle w:val="942"/>
          <w:rFonts w:hint="eastAsia" w:ascii="宋体" w:hAnsi="宋体" w:cs="宋体"/>
          <w:color w:val="auto"/>
          <w:sz w:val="30"/>
          <w:u w:val="none"/>
        </w:rPr>
        <w:fldChar w:fldCharType="end"/>
      </w:r>
      <w:r/>
    </w:p>
    <w:p>
      <w:pPr>
        <w:rPr>
          <w:rFonts w:ascii="宋体" w:hAnsi="宋体" w:cs="宋体"/>
        </w:rPr>
        <w:pBdr>
          <w:top w:val="none" w:color="000000" w:sz="0" w:space="0"/>
          <w:left w:val="none" w:color="000000" w:sz="0" w:space="0"/>
          <w:bottom w:val="none" w:color="000000" w:sz="0" w:space="0"/>
          <w:right w:val="none" w:color="000000" w:sz="0" w:space="0"/>
        </w:pBdr>
      </w:pPr>
      <w:r>
        <w:rPr>
          <w:rFonts w:ascii="宋体" w:hAnsi="宋体" w:cs="宋体"/>
        </w:rPr>
      </w:r>
      <w:r/>
    </w:p>
    <w:p>
      <w:pPr>
        <w:ind w:firstLine="210"/>
        <w:rPr>
          <w:rFonts w:ascii="宋体" w:hAnsi="宋体" w:cs="宋体"/>
        </w:rPr>
        <w:pBdr>
          <w:top w:val="none" w:color="000000" w:sz="0" w:space="0"/>
          <w:left w:val="none" w:color="000000" w:sz="0" w:space="0"/>
          <w:bottom w:val="none" w:color="000000" w:sz="0" w:space="0"/>
          <w:right w:val="none" w:color="000000" w:sz="0" w:space="0"/>
        </w:pBdr>
      </w:pPr>
      <w:r>
        <w:fldChar w:fldCharType="begin"/>
      </w:r>
      <w:r>
        <w:instrText xml:space="preserve"> HYPERLINK "http://jszfcg.jsczt.cn/jszc/onlyoffice/6.4.2-6/web-apps/apps/documenteditor/main/index.html?_dc=6.4.2-6&amp;lang=zh&amp;customer=ONLYOFFICE&amp;frameEditorId=iframePage&amp;parentO</w:instrText>
      </w:r>
      <w:r>
        <w:instrText xml:space="preserve">rigin=http://jszfcg.jsczt.cn#_Toc523404700" \o "http://jszfcg.jsczt.cn/jszc/onlyoffice/6.4.2-6/web-apps/apps/documenteditor/main/index.html?_dc=6.4.2-6&amp;lang=zh&amp;customer=ONLYOFFICE&amp;frameEditorId=iframePage&amp;parentOrigin=http://jszfcg.jsczt.cn#_Toc523404700" </w:instrText>
      </w:r>
      <w:r>
        <w:fldChar w:fldCharType="separate"/>
      </w:r>
      <w:r>
        <w:rPr>
          <w:rStyle w:val="942"/>
          <w:rFonts w:hint="eastAsia" w:ascii="宋体" w:hAnsi="宋体" w:cs="宋体"/>
          <w:color w:val="auto"/>
          <w:sz w:val="30"/>
          <w:u w:val="none"/>
        </w:rPr>
        <w:t xml:space="preserve">第六章  采购需求</w:t>
      </w:r>
      <w:r>
        <w:rPr>
          <w:rStyle w:val="942"/>
          <w:rFonts w:hint="eastAsia" w:ascii="宋体" w:hAnsi="宋体" w:cs="宋体"/>
          <w:color w:val="auto"/>
          <w:sz w:val="30"/>
          <w:u w:val="none"/>
        </w:rPr>
        <w:fldChar w:fldCharType="end"/>
      </w:r>
      <w:r/>
    </w:p>
    <w:p>
      <w:pPr>
        <w:rPr>
          <w:rFonts w:ascii="宋体" w:hAnsi="宋体" w:cs="宋体"/>
        </w:rPr>
        <w:pBdr>
          <w:top w:val="none" w:color="000000" w:sz="0" w:space="0"/>
          <w:left w:val="none" w:color="000000" w:sz="0" w:space="0"/>
          <w:bottom w:val="none" w:color="000000" w:sz="0" w:space="0"/>
          <w:right w:val="none" w:color="000000" w:sz="0" w:space="0"/>
        </w:pBdr>
      </w:pPr>
      <w:r>
        <w:rPr>
          <w:rFonts w:ascii="宋体" w:hAnsi="宋体" w:cs="宋体"/>
        </w:rPr>
      </w:r>
      <w:r/>
    </w:p>
    <w:p>
      <w:pPr>
        <w:ind w:firstLine="210"/>
        <w:rPr>
          <w:rFonts w:ascii="宋体" w:hAnsi="宋体" w:cs="宋体"/>
        </w:rPr>
        <w:pBdr>
          <w:top w:val="none" w:color="000000" w:sz="0" w:space="0"/>
          <w:left w:val="none" w:color="000000" w:sz="0" w:space="0"/>
          <w:bottom w:val="none" w:color="000000" w:sz="0" w:space="0"/>
          <w:right w:val="none" w:color="000000" w:sz="0" w:space="0"/>
        </w:pBdr>
      </w:pPr>
      <w:r>
        <w:fldChar w:fldCharType="begin"/>
      </w:r>
      <w:r>
        <w:instrText xml:space="preserve"> HYPERLINK "http://jszfcg.jsczt.cn/jszc/onlyoffice/6.4.2-6/web-apps/apps/documenteditor/main/index.html?_dc=6.4.2-6&amp;lang=zh&amp;customer=ONLYOFFICE&amp;frameEditorId=iframePage&amp;parentO</w:instrText>
      </w:r>
      <w:r>
        <w:instrText xml:space="preserve">rigin=http://jszfcg.jsczt.cn#_Toc523404701" \o "http://jszfcg.jsczt.cn/jszc/onlyoffice/6.4.2-6/web-apps/apps/documenteditor/main/index.html?_dc=6.4.2-6&amp;lang=zh&amp;customer=ONLYOFFICE&amp;frameEditorId=iframePage&amp;parentOrigin=http://jszfcg.jsczt.cn#_Toc523404701" </w:instrText>
      </w:r>
      <w:r>
        <w:fldChar w:fldCharType="separate"/>
      </w:r>
      <w:r>
        <w:rPr>
          <w:rStyle w:val="942"/>
          <w:rFonts w:hint="eastAsia" w:ascii="宋体" w:hAnsi="宋体" w:cs="宋体"/>
          <w:color w:val="auto"/>
          <w:sz w:val="30"/>
          <w:u w:val="none"/>
        </w:rPr>
        <w:t xml:space="preserve">第七章  投标文件相关格式</w:t>
      </w:r>
      <w:r>
        <w:rPr>
          <w:rStyle w:val="942"/>
          <w:rFonts w:hint="eastAsia" w:ascii="宋体" w:hAnsi="宋体" w:cs="宋体"/>
          <w:color w:val="auto"/>
          <w:sz w:val="30"/>
          <w:u w:val="none"/>
        </w:rPr>
        <w:fldChar w:fldCharType="end"/>
      </w:r>
      <w:r/>
    </w:p>
    <w:p>
      <w:pPr>
        <w:jc w:val="center"/>
        <w:spacing w:line="519" w:lineRule="atLeast"/>
        <w:rPr>
          <w:rFonts w:ascii="宋体" w:hAnsi="宋体" w:cs="宋体"/>
        </w:rPr>
        <w:pBdr>
          <w:top w:val="none" w:color="000000" w:sz="0" w:space="0"/>
          <w:left w:val="none" w:color="000000" w:sz="0" w:space="0"/>
          <w:bottom w:val="none" w:color="000000" w:sz="0" w:space="0"/>
          <w:right w:val="none" w:color="000000" w:sz="0" w:space="0"/>
        </w:pBdr>
      </w:pPr>
      <w:r>
        <w:rPr>
          <w:rFonts w:ascii="宋体" w:hAnsi="宋体" w:cs="宋体"/>
        </w:rPr>
      </w:r>
      <w:r/>
    </w:p>
    <w:p>
      <w:pPr>
        <w:jc w:val="center"/>
        <w:spacing w:line="519" w:lineRule="atLeast"/>
        <w:rPr>
          <w:rFonts w:ascii="宋体" w:hAnsi="宋体" w:cs="宋体"/>
          <w:b/>
          <w:sz w:val="44"/>
        </w:rPr>
        <w:pBdr>
          <w:top w:val="none" w:color="000000" w:sz="0" w:space="0"/>
          <w:left w:val="none" w:color="000000" w:sz="0" w:space="0"/>
          <w:bottom w:val="none" w:color="000000" w:sz="0" w:space="0"/>
          <w:right w:val="none" w:color="000000" w:sz="0" w:space="0"/>
        </w:pBdr>
        <w:sectPr>
          <w:headerReference w:type="default" r:id="rId10"/>
          <w:footerReference w:type="default" r:id="rId14"/>
          <w:footnotePr/>
          <w:endnotePr/>
          <w:type w:val="nextPage"/>
          <w:pgSz w:w="11906" w:h="16838" w:orient="portrait"/>
          <w:pgMar w:top="1440" w:right="1803" w:bottom="1440" w:left="1803" w:header="851" w:footer="992" w:gutter="0"/>
          <w:pgNumType w:start="1"/>
          <w:cols w:num="1" w:sep="0" w:space="1701" w:equalWidth="1"/>
          <w:docGrid w:linePitch="360"/>
        </w:sectPr>
      </w:pPr>
      <w:r>
        <w:rPr>
          <w:rFonts w:ascii="宋体" w:hAnsi="宋体" w:cs="宋体"/>
          <w:b/>
          <w:sz w:val="44"/>
        </w:rPr>
      </w:r>
      <w:r/>
    </w:p>
    <w:p>
      <w:pPr>
        <w:jc w:val="center"/>
        <w:spacing w:line="519" w:lineRule="atLeast"/>
        <w:rPr>
          <w:rFonts w:ascii="宋体" w:hAnsi="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b/>
          <w:sz w:val="28"/>
          <w:szCs w:val="28"/>
        </w:rPr>
        <w:t xml:space="preserve">徐州市第一人民医院《徐州市第一人民医院口服药单剂量分包机》招标文件</w:t>
      </w:r>
      <w:r/>
    </w:p>
    <w:p>
      <w:pPr>
        <w:ind w:firstLine="600"/>
        <w:spacing w:line="519" w:lineRule="atLeas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遵照政府采购法律法规、制度规定和采购人的采购需求、评标标准、评标办法，编制本项目招标文件。本项目招标文件共分七章：第一章，投标邀请；第二章，投标人须知；第三章，投标资料表；第四章，评标标准；第五章，拟签订的合同文本；第六章，采购需求；第七章，投标文件相关格式。</w:t>
      </w:r>
      <w:r/>
    </w:p>
    <w:p>
      <w:pPr>
        <w:spacing w:line="360" w:lineRule="atLeas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 </w:t>
      </w:r>
      <w:r/>
    </w:p>
    <w:p>
      <w:pPr>
        <w:jc w:val="center"/>
        <w:spacing w:line="360" w:lineRule="auto"/>
        <w:rPr>
          <w:rFonts w:ascii="宋体" w:hAnsi="宋体" w:cs="宋体"/>
          <w:sz w:val="28"/>
          <w:szCs w:val="28"/>
        </w:rPr>
        <w:pBdr>
          <w:top w:val="none" w:color="000000" w:sz="0" w:space="0"/>
          <w:left w:val="none" w:color="000000" w:sz="0" w:space="0"/>
          <w:bottom w:val="none" w:color="000000" w:sz="0" w:space="0"/>
          <w:right w:val="none" w:color="000000" w:sz="0" w:space="0"/>
        </w:pBdr>
        <w:outlineLvl w:val="0"/>
      </w:pPr>
      <w:r>
        <w:rPr>
          <w:rFonts w:hint="eastAsia" w:ascii="宋体" w:hAnsi="宋体" w:cs="宋体"/>
          <w:b/>
          <w:sz w:val="28"/>
          <w:szCs w:val="28"/>
        </w:rPr>
        <w:t xml:space="preserve">第一章  投标邀请</w:t>
      </w:r>
      <w:r/>
    </w:p>
    <w:p>
      <w:pPr>
        <w:ind w:firstLine="600"/>
        <w:spacing w:line="519" w:lineRule="atLeas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u w:val="single"/>
        </w:rPr>
        <w:t xml:space="preserve">江苏中瑞建设项目管理有限公司</w:t>
      </w:r>
      <w:r>
        <w:rPr>
          <w:rFonts w:hint="eastAsia" w:ascii="宋体" w:hAnsi="宋体" w:cs="宋体"/>
          <w:sz w:val="24"/>
        </w:rPr>
        <w:t xml:space="preserve">对</w:t>
      </w:r>
      <w:r>
        <w:rPr>
          <w:rFonts w:hint="eastAsia" w:ascii="宋体" w:hAnsi="宋体" w:cs="宋体"/>
          <w:sz w:val="24"/>
          <w:u w:val="single"/>
        </w:rPr>
        <w:t xml:space="preserve">徐州市第一人民医院口服药单剂量分包机</w:t>
      </w:r>
      <w:r>
        <w:rPr>
          <w:rFonts w:hint="eastAsia" w:ascii="宋体" w:hAnsi="宋体" w:cs="宋体"/>
          <w:sz w:val="24"/>
        </w:rPr>
        <w:t xml:space="preserve">项目进行公开招标采购，现邀请符合相关条件的供应商投标。</w:t>
      </w:r>
      <w:r/>
    </w:p>
    <w:p>
      <w:pPr>
        <w:ind w:firstLine="300"/>
        <w:spacing w:line="519" w:lineRule="atLeas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一、项目名称和项目编号</w:t>
      </w:r>
      <w:r/>
    </w:p>
    <w:p>
      <w:pPr>
        <w:ind w:firstLine="300"/>
        <w:spacing w:line="519" w:lineRule="atLeast"/>
        <w:rPr>
          <w:rFonts w:hint="eastAsia" w:ascii="宋体" w:hAnsi="宋体" w:eastAsia="宋体" w:cs="宋体"/>
          <w:sz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（一）项目名称：徐州市第一人民医院口服药单剂量分包机</w:t>
      </w:r>
      <w:r>
        <w:rPr>
          <w:rFonts w:hint="eastAsia" w:ascii="宋体" w:hAnsi="宋体" w:cs="宋体"/>
          <w:sz w:val="24"/>
          <w:lang w:val="en-US" w:eastAsia="zh-CN"/>
        </w:rPr>
        <w:t xml:space="preserve">项目</w:t>
      </w:r>
      <w:r/>
    </w:p>
    <w:p>
      <w:pPr>
        <w:ind w:firstLine="300"/>
        <w:spacing w:line="519" w:lineRule="atLeast"/>
        <w:rPr>
          <w:rFonts w:hint="eastAsia" w:ascii="宋体" w:hAnsi="宋体" w:eastAsia="宋体" w:cs="宋体"/>
          <w:sz w:val="24"/>
          <w:lang w:eastAsia="zh-CN"/>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（二）项目编号：</w:t>
      </w:r>
      <w:r>
        <w:rPr>
          <w:rFonts w:hint="eastAsia" w:ascii="宋体" w:hAnsi="宋体" w:cs="宋体"/>
          <w:sz w:val="24"/>
          <w:lang w:eastAsia="zh-CN"/>
        </w:rPr>
        <w:t xml:space="preserve">JSZC-320300-JSZR-G2025-0124</w:t>
      </w:r>
      <w:r/>
    </w:p>
    <w:p>
      <w:pPr>
        <w:ind w:firstLine="300"/>
        <w:spacing w:line="519" w:lineRule="atLeas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二、对投标人的资格要求</w:t>
      </w:r>
      <w:r/>
    </w:p>
    <w:p>
      <w:pPr>
        <w:ind w:firstLine="300"/>
        <w:spacing w:line="519" w:lineRule="atLeas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详见本项目公开招标公告。</w:t>
      </w:r>
      <w:r/>
    </w:p>
    <w:p>
      <w:pPr>
        <w:ind w:firstLine="301"/>
        <w:spacing w:line="519" w:lineRule="atLeast"/>
        <w:rPr>
          <w:rFonts w:ascii="宋体" w:hAnsi="宋体" w:cs="宋体"/>
          <w:b/>
          <w:bCs/>
          <w:sz w:val="24"/>
        </w:rPr>
        <w:pBdr>
          <w:top w:val="none" w:color="000000" w:sz="0" w:space="0"/>
          <w:left w:val="none" w:color="000000" w:sz="0" w:space="0"/>
          <w:bottom w:val="none" w:color="000000" w:sz="0" w:space="0"/>
          <w:right w:val="none" w:color="000000" w:sz="0" w:space="0"/>
        </w:pBdr>
      </w:pPr>
      <w:r>
        <w:rPr>
          <w:rFonts w:hint="eastAsia" w:ascii="宋体" w:hAnsi="宋体" w:cs="宋体"/>
          <w:b/>
          <w:bCs/>
          <w:sz w:val="24"/>
        </w:rPr>
        <w:t xml:space="preserve">三、获取招标文件</w:t>
      </w:r>
      <w:r/>
    </w:p>
    <w:p>
      <w:pPr>
        <w:ind w:firstLine="300"/>
        <w:spacing w:line="519" w:lineRule="atLeas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（一）潜在投标人访问电子招标投标交易平台的网络地址和方法：</w:t>
      </w:r>
      <w:r/>
    </w:p>
    <w:p>
      <w:pPr>
        <w:ind w:firstLine="300"/>
        <w:spacing w:line="519" w:lineRule="atLeas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1）“苏采云”系统用户注册——获取“CA数字证书”——CA绑定与登录——网上报名——下载采购文件（后缀名为“.kedt”）——将后缀名为“.kedt”的采购文件导入政府采购客户端工具——制作投标文件——导出加密的投标文件（后缀名为zip）——通过“苏采云”系统上传投标文件。具体见《江苏省政府采购管理交易系统（苏采云）供应商操作手册》。</w:t>
      </w:r>
      <w:r/>
    </w:p>
    <w:p>
      <w:pPr>
        <w:ind w:firstLine="300"/>
        <w:jc w:val="left"/>
        <w:spacing w:line="519" w:lineRule="atLeas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2）潜在供应商访问“苏采云”系统的网络地址和方法：“苏采云”系统的网址：http://jszfcg.jsczt.cn/；或进入徐州政府采购网（网址：http://czj.xz.gov.cn/Home/HomeIndex）——业务工作——用户登录，点击“苏采云”进入系统。</w:t>
      </w:r>
      <w:r/>
    </w:p>
    <w:p>
      <w:pPr>
        <w:ind w:firstLine="300"/>
        <w:spacing w:line="519" w:lineRule="atLeas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3）“CA数字证书”的获取：供应商需办理CA锁，“苏采云”系统目前仅支持“苏采云”系统下的政务CA，省内各地区办理的“苏采云”系统下的政务CA全省通用。“CA数字证书”的办理材料详见“徐州政府采购网——业务工作——快速服务——下载专区”中的《“苏采云”系统政务CA办理材料、操作手册及控件下载》。</w:t>
      </w:r>
      <w:r/>
    </w:p>
    <w:p>
      <w:pPr>
        <w:ind w:firstLine="300"/>
        <w:spacing w:line="519" w:lineRule="atLeas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4）采购文件（后缀名为“.kedt”）、供应商操作手册及政府采购客户端工具可通过“苏采云”系统——已报名项目——报名详情页面内相应链接进行下载；供应商操作手册及政府采购客户端工具也可通过徐州政府采购网——业务工作——快速服务——下载专区，点击进入《江苏省政府采购管理交易系统（苏采云）供应商操作手册及政府采购客户端》，进行下载。</w:t>
      </w:r>
      <w:r/>
    </w:p>
    <w:p>
      <w:pPr>
        <w:ind w:firstLine="300"/>
        <w:spacing w:line="519" w:lineRule="atLeas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（二）采购代理机构将数据电文形式的招标文件加载至电子招标投标交易平台，供潜在投标人下载或者查阅。</w:t>
      </w:r>
      <w:r/>
    </w:p>
    <w:p>
      <w:pPr>
        <w:ind w:firstLine="300"/>
        <w:spacing w:line="519" w:lineRule="atLeas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（三）售价：免费。</w:t>
      </w:r>
      <w:r/>
    </w:p>
    <w:p>
      <w:pPr>
        <w:ind w:firstLine="300"/>
        <w:spacing w:line="519" w:lineRule="atLeas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四、投标有关信息</w:t>
      </w:r>
      <w:r/>
    </w:p>
    <w:p>
      <w:pPr>
        <w:ind w:firstLine="300"/>
        <w:spacing w:line="519" w:lineRule="atLeas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（一）投标截止时间：</w:t>
      </w:r>
      <w:r>
        <w:rPr>
          <w:rFonts w:hint="eastAsia" w:ascii="宋体" w:hAnsi="宋体" w:cs="宋体"/>
          <w:b/>
          <w:sz w:val="24"/>
        </w:rPr>
        <w:t xml:space="preserve">2025年</w:t>
      </w:r>
      <w:r>
        <w:rPr>
          <w:rFonts w:hint="eastAsia" w:ascii="宋体" w:hAnsi="宋体" w:cs="宋体"/>
          <w:b/>
          <w:sz w:val="24"/>
          <w:u w:val="single"/>
        </w:rPr>
        <w:t xml:space="preserve">1</w:t>
      </w:r>
      <w:r>
        <w:rPr>
          <w:rFonts w:hint="eastAsia" w:ascii="宋体" w:hAnsi="宋体" w:cs="宋体"/>
          <w:b/>
          <w:sz w:val="24"/>
          <w:u w:val="single"/>
          <w:lang w:val="en-US" w:eastAsia="zh-CN"/>
        </w:rPr>
        <w:t xml:space="preserve">2</w:t>
      </w:r>
      <w:r>
        <w:rPr>
          <w:rFonts w:hint="eastAsia" w:ascii="宋体" w:hAnsi="宋体" w:cs="宋体"/>
          <w:b/>
          <w:sz w:val="24"/>
        </w:rPr>
        <w:t xml:space="preserve">月</w:t>
      </w:r>
      <w:r>
        <w:rPr>
          <w:rFonts w:hint="eastAsia" w:ascii="宋体" w:hAnsi="宋体" w:cs="宋体"/>
          <w:b/>
          <w:sz w:val="24"/>
          <w:u w:val="single"/>
        </w:rPr>
        <w:t xml:space="preserve"> 4</w:t>
      </w:r>
      <w:r>
        <w:rPr>
          <w:rFonts w:hint="eastAsia" w:ascii="宋体" w:hAnsi="宋体" w:cs="宋体"/>
          <w:b/>
          <w:sz w:val="24"/>
        </w:rPr>
        <w:t xml:space="preserve">日北京时间09:30</w:t>
      </w:r>
      <w:r>
        <w:rPr>
          <w:rFonts w:hint="eastAsia" w:ascii="宋体" w:hAnsi="宋体" w:cs="宋体"/>
          <w:sz w:val="24"/>
        </w:rPr>
        <w:t xml:space="preserve">。</w:t>
      </w:r>
      <w:r/>
    </w:p>
    <w:p>
      <w:pPr>
        <w:ind w:firstLine="300"/>
        <w:spacing w:line="519" w:lineRule="atLeas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（二）开标时间：</w:t>
      </w:r>
      <w:r>
        <w:rPr>
          <w:rFonts w:hint="eastAsia" w:ascii="宋体" w:hAnsi="宋体" w:cs="宋体"/>
          <w:b/>
          <w:sz w:val="24"/>
        </w:rPr>
        <w:t xml:space="preserve">2025年</w:t>
      </w:r>
      <w:r>
        <w:rPr>
          <w:rFonts w:hint="eastAsia" w:ascii="宋体" w:hAnsi="宋体" w:cs="宋体"/>
          <w:b/>
          <w:sz w:val="24"/>
          <w:u w:val="single"/>
        </w:rPr>
        <w:t xml:space="preserve">1</w:t>
      </w:r>
      <w:r>
        <w:rPr>
          <w:rFonts w:hint="eastAsia" w:ascii="宋体" w:hAnsi="宋体" w:cs="宋体"/>
          <w:b/>
          <w:sz w:val="24"/>
          <w:u w:val="single"/>
          <w:lang w:val="en-US" w:eastAsia="zh-CN"/>
        </w:rPr>
        <w:t xml:space="preserve">2</w:t>
      </w:r>
      <w:r>
        <w:rPr>
          <w:rFonts w:hint="eastAsia" w:ascii="宋体" w:hAnsi="宋体" w:cs="宋体"/>
          <w:b/>
          <w:sz w:val="24"/>
        </w:rPr>
        <w:t xml:space="preserve">月</w:t>
      </w:r>
      <w:r>
        <w:rPr>
          <w:rFonts w:hint="eastAsia" w:ascii="宋体" w:hAnsi="宋体" w:cs="宋体"/>
          <w:b/>
          <w:sz w:val="24"/>
          <w:u w:val="single"/>
        </w:rPr>
        <w:t xml:space="preserve"> 4</w:t>
      </w:r>
      <w:r>
        <w:rPr>
          <w:rFonts w:hint="eastAsia" w:ascii="宋体" w:hAnsi="宋体" w:cs="宋体"/>
          <w:b/>
          <w:sz w:val="24"/>
        </w:rPr>
        <w:t xml:space="preserve">日北京时间09:30</w:t>
      </w:r>
      <w:r>
        <w:rPr>
          <w:rFonts w:hint="eastAsia" w:ascii="宋体" w:hAnsi="宋体" w:cs="宋体"/>
          <w:sz w:val="24"/>
        </w:rPr>
        <w:t xml:space="preserve">。</w:t>
      </w:r>
      <w:r/>
    </w:p>
    <w:p>
      <w:pPr>
        <w:ind w:firstLine="300"/>
        <w:spacing w:line="519" w:lineRule="atLeas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（三）开标地点：“苏采云”系统“开标大厅”或进入徐州政府采购网——业务工作——用户登录，点击“苏采云”进入系统“开标大厅”。</w:t>
      </w:r>
      <w:r/>
    </w:p>
    <w:p>
      <w:pPr>
        <w:ind w:firstLine="300"/>
        <w:spacing w:line="519" w:lineRule="atLeas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五、采购人</w:t>
      </w:r>
      <w:r/>
    </w:p>
    <w:p>
      <w:pPr>
        <w:ind w:firstLine="300"/>
        <w:spacing w:line="519" w:lineRule="atLeas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（一）名称：徐州市第一人民医院</w:t>
      </w:r>
      <w:r/>
    </w:p>
    <w:p>
      <w:pPr>
        <w:ind w:firstLine="300"/>
        <w:spacing w:line="519" w:lineRule="atLeas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（二）地址：徐州市铜山区大学路269号</w:t>
      </w:r>
      <w:r/>
    </w:p>
    <w:p>
      <w:pPr>
        <w:ind w:firstLine="300"/>
        <w:spacing w:line="519" w:lineRule="atLeas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（三）采购项目联系人：张宇辰           </w:t>
      </w:r>
      <w:r/>
    </w:p>
    <w:p>
      <w:pPr>
        <w:ind w:firstLine="300"/>
        <w:spacing w:line="519" w:lineRule="atLeas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（四）联系方式：0516-68383042                        </w:t>
      </w:r>
      <w:r/>
    </w:p>
    <w:p>
      <w:pPr>
        <w:ind w:firstLine="300"/>
        <w:spacing w:line="519" w:lineRule="atLeas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六、采购代理机构</w:t>
      </w:r>
      <w:r/>
    </w:p>
    <w:p>
      <w:pPr>
        <w:ind w:firstLine="300"/>
        <w:spacing w:line="519" w:lineRule="atLeas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（一）名称：江苏中瑞建设项目管理有限公司</w:t>
      </w:r>
      <w:r/>
    </w:p>
    <w:p>
      <w:pPr>
        <w:ind w:firstLine="300"/>
        <w:spacing w:line="519" w:lineRule="atLeas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（二）地址：徐州市云龙区郭庄路世茂广场SOHO3号楼17楼</w:t>
      </w:r>
      <w:r/>
    </w:p>
    <w:p>
      <w:pPr>
        <w:ind w:firstLine="300"/>
        <w:spacing w:line="519" w:lineRule="atLeas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（三）采购项目联系人：苏柏铭、孙萌</w:t>
      </w:r>
      <w:r/>
    </w:p>
    <w:p>
      <w:pPr>
        <w:ind w:firstLine="300"/>
        <w:spacing w:line="519" w:lineRule="atLeas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（四）联系电话：0516-83906677</w:t>
      </w:r>
      <w:r/>
    </w:p>
    <w:p>
      <w:pPr>
        <w:ind w:firstLine="600"/>
        <w:jc w:val="right"/>
        <w:spacing w:line="360" w:lineRule="atLeast"/>
        <w:tabs>
          <w:tab w:val="left" w:pos="4223" w:leader="none"/>
        </w:tabs>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30"/>
        </w:rPr>
        <w:t xml:space="preserve"> </w:t>
      </w:r>
      <w:r/>
    </w:p>
    <w:p>
      <w:pPr>
        <w:jc w:val="center"/>
        <w:spacing w:line="360" w:lineRule="auto"/>
        <w:rPr>
          <w:rFonts w:ascii="宋体" w:hAnsi="宋体" w:cs="宋体"/>
          <w:sz w:val="28"/>
          <w:szCs w:val="28"/>
        </w:rPr>
        <w:pBdr>
          <w:top w:val="none" w:color="000000" w:sz="0" w:space="0"/>
          <w:left w:val="none" w:color="000000" w:sz="0" w:space="0"/>
          <w:bottom w:val="none" w:color="000000" w:sz="0" w:space="0"/>
          <w:right w:val="none" w:color="000000" w:sz="0" w:space="0"/>
        </w:pBdr>
        <w:outlineLvl w:val="0"/>
      </w:pPr>
      <w:r>
        <w:rPr>
          <w:rFonts w:hint="eastAsia" w:ascii="宋体" w:hAnsi="宋体" w:cs="宋体"/>
          <w:b/>
          <w:sz w:val="28"/>
          <w:szCs w:val="28"/>
        </w:rPr>
        <w:t xml:space="preserve">第二章 投标人须知</w:t>
      </w:r>
      <w:r/>
    </w:p>
    <w:p>
      <w:pPr>
        <w:ind w:firstLine="600"/>
        <w:spacing w:line="519" w:lineRule="atLeas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一、总则</w:t>
      </w:r>
      <w:r/>
    </w:p>
    <w:p>
      <w:pPr>
        <w:ind w:firstLine="600"/>
        <w:spacing w:line="519" w:lineRule="atLeas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（一）采购人。采购人即指依法进行政府采购的国家机关、事业单位和团体组织。</w:t>
      </w:r>
      <w:r/>
    </w:p>
    <w:p>
      <w:pPr>
        <w:ind w:firstLine="600"/>
        <w:spacing w:line="519" w:lineRule="atLeas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（二）政府招标采购方式。政府采购货物或服务（以下简称“货物服务”）的招标方式，分为公开招标和邀请招标。</w:t>
      </w:r>
      <w:r/>
    </w:p>
    <w:p>
      <w:pPr>
        <w:ind w:firstLine="600"/>
        <w:spacing w:line="519" w:lineRule="atLeas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（三）采购人在采购货物服务的招标投标活动中，应当贯彻落实“节约能源、保护环境、扶持不发达地区和少数民族地区和促进中小企业发展”等政府采购政策。</w:t>
      </w:r>
      <w:r/>
    </w:p>
    <w:p>
      <w:pPr>
        <w:ind w:firstLine="600"/>
        <w:spacing w:line="519" w:lineRule="atLeas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（四）采购人应当按照财政部制定的《政府采购品目分类目录》确定采购项目属性，对按照《政府采购品目分类目录》无法确定采购项目属性的，应按照有利于采购项目实施的原则确定。</w:t>
      </w:r>
      <w:r/>
    </w:p>
    <w:p>
      <w:pPr>
        <w:ind w:firstLine="600"/>
        <w:spacing w:line="519" w:lineRule="atLeas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（五）采购人委托采购代理机构代理招标的，采购代理机构必须在采购人委托的范围内依法开展采购活动。</w:t>
      </w:r>
      <w:r/>
    </w:p>
    <w:p>
      <w:pPr>
        <w:ind w:firstLine="600"/>
        <w:spacing w:line="519" w:lineRule="atLeas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（六）投标人的资格条件：</w:t>
      </w:r>
      <w:r/>
    </w:p>
    <w:p>
      <w:pPr>
        <w:ind w:firstLine="600"/>
        <w:spacing w:line="519" w:lineRule="atLeas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1.参加“政府采购货物服务投标活动”的供应商（以下简称投标人），应当是能够提供本国货物服务的本国供应商，但法律、行政法规规定的外国供应商可以参加货物服务招标投标活动的除外。</w:t>
      </w:r>
      <w:r/>
    </w:p>
    <w:p>
      <w:pPr>
        <w:ind w:firstLine="600"/>
        <w:spacing w:line="519" w:lineRule="atLeas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投标人是指响应招标、参加投标竞争的法人、其他组织或者自然人。</w:t>
      </w:r>
      <w:r/>
    </w:p>
    <w:p>
      <w:pPr>
        <w:ind w:firstLine="600"/>
        <w:spacing w:line="519" w:lineRule="atLeas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2.投标人授权代表系指法定代表人或受法人委托的受托人。</w:t>
      </w:r>
      <w:r/>
    </w:p>
    <w:p>
      <w:pPr>
        <w:ind w:firstLine="600"/>
        <w:spacing w:line="519" w:lineRule="atLeas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（七）投标费用：投标人应承担所有与准备和参加投标有关的费用。无论投标的结果如何，采购代理机构对上述费用不承担任何责任和义务。</w:t>
      </w:r>
      <w:r/>
    </w:p>
    <w:p>
      <w:pPr>
        <w:ind w:firstLine="600"/>
        <w:spacing w:line="519" w:lineRule="atLeas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二、招标</w:t>
      </w:r>
      <w:r/>
    </w:p>
    <w:p>
      <w:pPr>
        <w:ind w:firstLine="600"/>
        <w:spacing w:line="519" w:lineRule="atLeas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（八）招标文件应包括以下内容：</w:t>
      </w:r>
      <w:r/>
    </w:p>
    <w:p>
      <w:pPr>
        <w:ind w:firstLine="600"/>
        <w:spacing w:line="519" w:lineRule="atLeas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第一章：投标邀请；</w:t>
      </w:r>
      <w:r/>
    </w:p>
    <w:p>
      <w:pPr>
        <w:ind w:firstLine="600"/>
        <w:spacing w:line="519" w:lineRule="atLeas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第二章：投标人须知；</w:t>
      </w:r>
      <w:r/>
    </w:p>
    <w:p>
      <w:pPr>
        <w:ind w:firstLine="600"/>
        <w:spacing w:line="519" w:lineRule="atLeas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第三章：投标资料表；</w:t>
      </w:r>
      <w:r/>
    </w:p>
    <w:p>
      <w:pPr>
        <w:ind w:firstLine="600"/>
        <w:spacing w:line="519" w:lineRule="atLeas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第四章：评标标准；</w:t>
      </w:r>
      <w:r/>
    </w:p>
    <w:p>
      <w:pPr>
        <w:ind w:firstLine="600"/>
        <w:spacing w:line="519" w:lineRule="atLeas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第五章：拟签订的合同文本；</w:t>
      </w:r>
      <w:r/>
    </w:p>
    <w:p>
      <w:pPr>
        <w:ind w:firstLine="600"/>
        <w:spacing w:line="519" w:lineRule="atLeas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第六章：采购需求；</w:t>
      </w:r>
      <w:r/>
    </w:p>
    <w:p>
      <w:pPr>
        <w:ind w:firstLine="600"/>
        <w:spacing w:line="519" w:lineRule="atLeas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第七章：投标文件相关格式。</w:t>
      </w:r>
      <w:r/>
    </w:p>
    <w:p>
      <w:pPr>
        <w:ind w:firstLine="600"/>
        <w:spacing w:line="519" w:lineRule="atLeas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（九）招标文件澄清或者修改：</w:t>
      </w:r>
      <w:r/>
    </w:p>
    <w:p>
      <w:pPr>
        <w:ind w:firstLine="600"/>
        <w:spacing w:line="519" w:lineRule="atLeas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1.采购代理机构可以对已发出的招标文件、资格预审文件、投标邀请书进行必要的澄清或者修改，但不得改变采购标的和资格条件。澄清或者修改应当在原公告发布媒体上发布澄清公告。澄清或者修改的内容为招标文件、资格预审文件、投标邀请书的组成部分。</w:t>
      </w:r>
      <w:r/>
    </w:p>
    <w:p>
      <w:pPr>
        <w:ind w:firstLine="600"/>
        <w:spacing w:line="519" w:lineRule="atLeas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澄清或者修改的内容可能影响投标文件编制的，采购代理机构应当在投标截止时间至少15日前，以书面形式通知所有获取招标文件的潜在投标人；不足15日的，采购代理机构应当顺延提交投标文件的截止时间。</w:t>
      </w:r>
      <w:r/>
    </w:p>
    <w:p>
      <w:pPr>
        <w:ind w:firstLine="600"/>
        <w:spacing w:line="519" w:lineRule="atLeas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2.现场考察以本文件第三章《投标资料表》中的要求为准。</w:t>
      </w:r>
      <w:r/>
    </w:p>
    <w:p>
      <w:pPr>
        <w:ind w:firstLine="600"/>
        <w:spacing w:line="519" w:lineRule="atLeas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3.开标前答疑会以本文件第三章《投标资料表》中的要求为准。</w:t>
      </w:r>
      <w:r/>
    </w:p>
    <w:p>
      <w:pPr>
        <w:ind w:firstLine="600"/>
        <w:spacing w:line="519" w:lineRule="atLeas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三、投标</w:t>
      </w:r>
      <w:r/>
    </w:p>
    <w:p>
      <w:pPr>
        <w:ind w:firstLine="600"/>
        <w:spacing w:line="519" w:lineRule="atLeas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（十）投标人应当按照招标文件的要求编制投标文件。投标文件应对招标文件提出的要求和条件作出实质性响应。</w:t>
      </w:r>
      <w:r/>
    </w:p>
    <w:p>
      <w:pPr>
        <w:ind w:firstLine="600"/>
        <w:spacing w:line="519" w:lineRule="atLeas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（十一）投标文件的语言。投标文件以及投标人与采购代理机构就有关投标的往来函电均应使用本文件第三章《投标资料表》规定的语言书写，否则无效。</w:t>
      </w:r>
      <w:r/>
    </w:p>
    <w:p>
      <w:pPr>
        <w:ind w:firstLine="600"/>
        <w:spacing w:line="519" w:lineRule="atLeas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（十二）投标文件的构成：</w:t>
      </w:r>
      <w:r/>
    </w:p>
    <w:p>
      <w:pPr>
        <w:ind w:firstLine="600"/>
        <w:spacing w:line="519" w:lineRule="atLeas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1.投标文件的构成以本文件第三章《投标资料表》中的要求为准。</w:t>
      </w:r>
      <w:r/>
    </w:p>
    <w:p>
      <w:pPr>
        <w:ind w:firstLine="600"/>
        <w:spacing w:line="519" w:lineRule="atLeas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2.投标人应当提交的资格、资信证明文件，以本文件第三章《投标资料表》中的所提要求为准。</w:t>
      </w:r>
      <w:r/>
    </w:p>
    <w:p>
      <w:pPr>
        <w:ind w:firstLine="600"/>
        <w:spacing w:line="519" w:lineRule="atLeas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（十三）投标函和价格表、商务条件、交货和提供服务的时间：</w:t>
      </w:r>
      <w:r/>
    </w:p>
    <w:p>
      <w:pPr>
        <w:ind w:firstLine="600"/>
        <w:spacing w:line="519" w:lineRule="atLeas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1.投标函和价格表的要求见本章（十二）、（十三），格式见本文件第七章《投标文件相关格式》中《投标函》和《开标一览表》。</w:t>
      </w:r>
      <w:r/>
    </w:p>
    <w:p>
      <w:pPr>
        <w:ind w:firstLine="600"/>
        <w:spacing w:line="519" w:lineRule="atLeas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2.商务条件以本文件第三章《投标资料表》中的要求为准。</w:t>
      </w:r>
      <w:r/>
    </w:p>
    <w:p>
      <w:pPr>
        <w:ind w:firstLine="600"/>
        <w:spacing w:line="519" w:lineRule="atLeas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3.交货和提供服务的时间，以本文件第三章《投标资料表》中所提要求为准。</w:t>
      </w:r>
      <w:r/>
    </w:p>
    <w:p>
      <w:pPr>
        <w:ind w:firstLine="600"/>
        <w:spacing w:line="519" w:lineRule="atLeas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（十四）投标报价要求：</w:t>
      </w:r>
      <w:r/>
    </w:p>
    <w:p>
      <w:pPr>
        <w:ind w:firstLine="600"/>
        <w:spacing w:line="519" w:lineRule="atLeas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1.投标人应按照招标文件的要求报出分项价格和总价。</w:t>
      </w:r>
      <w:r/>
    </w:p>
    <w:p>
      <w:pPr>
        <w:ind w:firstLine="600"/>
        <w:spacing w:line="519" w:lineRule="atLeas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2.投标人应按照招标文件的要求进行报价，如投标人作出偏离，应在《偏离表》中列出。</w:t>
      </w:r>
      <w:r/>
    </w:p>
    <w:p>
      <w:pPr>
        <w:ind w:firstLine="600"/>
        <w:spacing w:line="519" w:lineRule="atLeas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3.采购人不支付报价以外的任何费用。</w:t>
      </w:r>
      <w:r/>
    </w:p>
    <w:p>
      <w:pPr>
        <w:ind w:firstLine="600"/>
        <w:spacing w:line="519" w:lineRule="atLeas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4.投标人所报的价格，在合同执行过程中是固定的，不得以任何理由予以变更。投标人提交滑动价格的投标文件，在资格性、符合性检查时按照无效投标处理。</w:t>
      </w:r>
      <w:r/>
    </w:p>
    <w:p>
      <w:pPr>
        <w:ind w:firstLine="600"/>
        <w:spacing w:line="519" w:lineRule="atLeas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5.投标人只能提交一个投标价格，投标人提交多个价格的投标文件，在资格性、符合性检查时按照无效投标处理。</w:t>
      </w:r>
      <w:r/>
    </w:p>
    <w:p>
      <w:pPr>
        <w:ind w:firstLine="600"/>
        <w:spacing w:line="519" w:lineRule="atLeas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（十五）投标货币。以本文件第三章《投标资料表》中所提要求为准。</w:t>
      </w:r>
      <w:r/>
    </w:p>
    <w:p>
      <w:pPr>
        <w:ind w:firstLine="600"/>
        <w:spacing w:line="519" w:lineRule="atLeas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（十六）投标有效期：</w:t>
      </w:r>
      <w:r/>
    </w:p>
    <w:p>
      <w:pPr>
        <w:ind w:firstLine="600"/>
        <w:spacing w:line="519" w:lineRule="atLeas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1.投标有效期为开标之日后90天。采购人可以要求对投标有效期延长一次，但该延长期最长不得超过30天。</w:t>
      </w:r>
      <w:r/>
    </w:p>
    <w:p>
      <w:pPr>
        <w:ind w:firstLine="600"/>
        <w:spacing w:line="519" w:lineRule="atLeas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2.采购人要求延长投标有效期的，必须在距投标有效期满20日之前，以书面形式通知投标人，如果有关投标人同意延长投标有效期的要求，其应在原投标有效期期满前以书面形式向采购人确认。</w:t>
      </w:r>
      <w:r/>
    </w:p>
    <w:p>
      <w:pPr>
        <w:ind w:firstLine="600"/>
        <w:spacing w:line="519" w:lineRule="atLeas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3.如果采购人发出要求延长投标有效期的通知，并在投标有效期届满前，没有收到投标人同意的书面通知，则视为该投标人不接受上述延期的要求。</w:t>
      </w:r>
      <w:r/>
    </w:p>
    <w:p>
      <w:pPr>
        <w:ind w:firstLine="600"/>
        <w:spacing w:line="519" w:lineRule="atLeas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（十七）投标文件的编制要求和签署要求：</w:t>
      </w:r>
      <w:r/>
    </w:p>
    <w:p>
      <w:pPr>
        <w:ind w:firstLine="482"/>
        <w:spacing w:line="519" w:lineRule="atLeas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（1）投标人应由其法定代表人或法定代表人授权代表在规定的网上投标时间，凭 CA 证书登录“苏采云”系统在线编制投标文件（电子数据），并在投标截止时间之前上传投标文件。</w:t>
      </w:r>
      <w:r/>
    </w:p>
    <w:p>
      <w:pPr>
        <w:ind w:firstLine="482"/>
        <w:spacing w:line="519" w:lineRule="atLeas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（2）投标人应对CA证书妥善保管，如被他人盗用投标，因此带来的结果均由投标人自行承担。</w:t>
      </w:r>
      <w:r/>
    </w:p>
    <w:p>
      <w:pPr>
        <w:ind w:firstLine="482"/>
        <w:spacing w:line="519" w:lineRule="atLeas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（3）投标人应当对招标文件提出的要求和条件作出实质性响应，并在电子投标系统逐条应答。</w:t>
      </w:r>
      <w:r/>
    </w:p>
    <w:p>
      <w:pPr>
        <w:ind w:firstLine="482"/>
        <w:spacing w:line="519" w:lineRule="atLeas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（4）投标人应对要求提供的资格证明文件（如资质证书、资格证书）、技术资料（如白皮书、彩页、手册、检测报告等）扫描上传至投标系统。</w:t>
      </w:r>
      <w:r/>
    </w:p>
    <w:p>
      <w:pPr>
        <w:ind w:firstLine="600"/>
        <w:spacing w:line="519" w:lineRule="atLeas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（十八）投标文件的盖章要求</w:t>
      </w:r>
      <w:r/>
    </w:p>
    <w:p>
      <w:pPr>
        <w:ind w:firstLine="600"/>
        <w:spacing w:line="519" w:lineRule="atLeas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1.投标文件的盖章要求以招标文件第三章《投标资料表》中的要求为准。</w:t>
      </w:r>
      <w:r/>
    </w:p>
    <w:p>
      <w:pPr>
        <w:ind w:firstLine="600"/>
        <w:spacing w:line="519" w:lineRule="atLeas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（十九）提交投标文件的截止时间和收到投标文件后注意事项。投标人应在招标文件要求的提交投标文件的截止时间前，将投标文件提交至“苏采云”系统。</w:t>
      </w:r>
      <w:r/>
    </w:p>
    <w:p>
      <w:pPr>
        <w:ind w:firstLine="600"/>
        <w:spacing w:line="519" w:lineRule="atLeas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（二十）凡在招标文件要求提交投标文件的截止时间之后送达的投标文件，均为无效投标文件，“苏采云”系统将自动拒收。各投标人应在规定时间内通过CA证书进行网上解密。</w:t>
      </w:r>
      <w:r/>
    </w:p>
    <w:p>
      <w:pPr>
        <w:ind w:firstLine="600"/>
        <w:spacing w:line="519" w:lineRule="atLeas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（二十一）投标人在投标截止时间前，可以对所递交的投标文件进行补充、修改或者撤回，其所进行补充、修改的内容，应当按照招标文件要求进行签署、盖章、密封，然后纳为投标文件的组成部分。</w:t>
      </w:r>
      <w:r/>
    </w:p>
    <w:p>
      <w:pPr>
        <w:ind w:firstLine="600"/>
        <w:spacing w:line="519" w:lineRule="atLeas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（二十二）本项目不允许分包。</w:t>
      </w:r>
      <w:r/>
    </w:p>
    <w:p>
      <w:pPr>
        <w:ind w:firstLine="600"/>
        <w:spacing w:line="519" w:lineRule="atLeast"/>
        <w:shd w:val="clear" w:color="ffffff" w:fill="auto"/>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（二十三）投标人应当遵循公平竞争的原则，不得恶意串通，不得妨碍其他投标人的竞争行为，不得损害采购人或者其他投标人的合法权益。</w:t>
      </w:r>
      <w:r/>
    </w:p>
    <w:p>
      <w:pPr>
        <w:ind w:firstLine="600"/>
        <w:spacing w:line="519" w:lineRule="atLeast"/>
        <w:shd w:val="clear" w:color="ffffff" w:fill="auto"/>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在评标过程中发现投标人有上述情形的，评审委员会应当认定其投标无效，并书面报告本级财政部门。</w:t>
      </w:r>
      <w:r/>
    </w:p>
    <w:p>
      <w:pPr>
        <w:ind w:firstLine="600"/>
        <w:spacing w:line="519" w:lineRule="atLeast"/>
        <w:shd w:val="clear" w:color="ffffff" w:fill="auto"/>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（二十四）有下列情形之一的，其投标无效。</w:t>
      </w:r>
      <w:r/>
    </w:p>
    <w:p>
      <w:pPr>
        <w:ind w:firstLine="600"/>
        <w:spacing w:line="519" w:lineRule="atLeast"/>
        <w:shd w:val="clear" w:color="ffffff" w:fill="auto"/>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1.不同投标人的投标文件，由同一单位或者个人编制；</w:t>
      </w:r>
      <w:r/>
    </w:p>
    <w:p>
      <w:pPr>
        <w:ind w:firstLine="600"/>
        <w:spacing w:line="519" w:lineRule="atLeast"/>
        <w:shd w:val="clear" w:color="ffffff" w:fill="auto"/>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2.不同投标人委托同一单位或者个人办理投标事宜；</w:t>
      </w:r>
      <w:r/>
    </w:p>
    <w:p>
      <w:pPr>
        <w:ind w:firstLine="600"/>
        <w:spacing w:line="519" w:lineRule="atLeast"/>
        <w:shd w:val="clear" w:color="ffffff" w:fill="auto"/>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3.不同投标人的投标文件中，所载明的项目管理成员或联系人为同一人；</w:t>
      </w:r>
      <w:r/>
    </w:p>
    <w:p>
      <w:pPr>
        <w:ind w:firstLine="600"/>
        <w:spacing w:line="519" w:lineRule="atLeast"/>
        <w:shd w:val="clear" w:color="ffffff" w:fill="auto"/>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4.不同投标人的投标文件，异常一致或者投标报价呈规律性差异；</w:t>
      </w:r>
      <w:r/>
    </w:p>
    <w:p>
      <w:pPr>
        <w:ind w:firstLine="600"/>
        <w:spacing w:line="519" w:lineRule="atLeast"/>
        <w:shd w:val="clear" w:color="ffffff" w:fill="auto"/>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5.不同投标人的投标文件相互混装；</w:t>
      </w:r>
      <w:r/>
    </w:p>
    <w:p>
      <w:pPr>
        <w:ind w:firstLine="600"/>
        <w:spacing w:line="519" w:lineRule="atLeast"/>
        <w:shd w:val="clear" w:color="ffffff" w:fill="auto"/>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6.不同投标人投标文件内容存在非正常一致、项目组成员出现同一人、投标文件中错误（或异常）一致或雷同、电子文档信息一致或雷同的、投标报价呈规律性差异的；</w:t>
      </w:r>
      <w:r/>
    </w:p>
    <w:p>
      <w:pPr>
        <w:ind w:firstLine="600"/>
        <w:spacing w:line="519" w:lineRule="atLeast"/>
        <w:shd w:val="clear" w:color="ffffff" w:fill="auto"/>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7.电子投标文件未按规定期限投标的；</w:t>
      </w:r>
      <w:r/>
    </w:p>
    <w:p>
      <w:pPr>
        <w:ind w:firstLine="600"/>
        <w:spacing w:line="519" w:lineRule="atLeast"/>
        <w:shd w:val="clear" w:color="ffffff" w:fill="auto"/>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8.电子投标文件未按招标文件要求签章的；</w:t>
      </w:r>
      <w:r/>
    </w:p>
    <w:p>
      <w:pPr>
        <w:ind w:firstLine="600"/>
        <w:spacing w:line="519" w:lineRule="atLeast"/>
        <w:shd w:val="clear" w:color="ffffff" w:fill="auto"/>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9.投标人未在规定时间内解密电子投标文件的；</w:t>
      </w:r>
      <w:r/>
    </w:p>
    <w:p>
      <w:pPr>
        <w:ind w:firstLine="600"/>
        <w:spacing w:line="519" w:lineRule="atLeast"/>
        <w:shd w:val="clear" w:color="ffffff" w:fill="auto"/>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10.投标文件未按招标文件规定的内容和要求填写的；没有在投标系统指定位置上传对应文件、材料的；</w:t>
      </w:r>
      <w:r/>
    </w:p>
    <w:p>
      <w:pPr>
        <w:ind w:firstLine="600"/>
        <w:spacing w:line="519" w:lineRule="atLeas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11.不具备招标文件中规定的资格要求的；</w:t>
      </w:r>
      <w:r/>
    </w:p>
    <w:p>
      <w:pPr>
        <w:ind w:firstLine="600"/>
        <w:spacing w:line="519" w:lineRule="atLeas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12.报价超过招标文件中规定的预算金额或者最高限价的；</w:t>
      </w:r>
      <w:r/>
    </w:p>
    <w:p>
      <w:pPr>
        <w:ind w:firstLine="600"/>
        <w:spacing w:line="519" w:lineRule="atLeas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13.投标文件含有采购人不能接受的附加条件的；</w:t>
      </w:r>
      <w:r/>
    </w:p>
    <w:p>
      <w:pPr>
        <w:ind w:firstLine="600"/>
        <w:spacing w:line="519" w:lineRule="atLeas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14.法律法规和招标文件规定的其他无效情形。</w:t>
      </w:r>
      <w:r/>
    </w:p>
    <w:p>
      <w:pPr>
        <w:ind w:firstLine="600"/>
        <w:spacing w:line="519" w:lineRule="atLeas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四、开标</w:t>
      </w:r>
      <w:r/>
    </w:p>
    <w:p>
      <w:pPr>
        <w:ind w:firstLine="600"/>
        <w:spacing w:line="519" w:lineRule="atLeas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（二十五）开标：</w:t>
      </w:r>
      <w:r/>
    </w:p>
    <w:p>
      <w:pPr>
        <w:ind w:firstLine="600"/>
        <w:spacing w:line="519" w:lineRule="atLeas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1.所有投标单位凭 CA 证书在到达开标时间时，解密各自投标文件。</w:t>
      </w:r>
      <w:r/>
    </w:p>
    <w:p>
      <w:pPr>
        <w:ind w:firstLine="600"/>
        <w:spacing w:line="519" w:lineRule="atLeas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2.投标人不足3家的，不得开标。</w:t>
      </w:r>
      <w:r/>
    </w:p>
    <w:p>
      <w:pPr>
        <w:ind w:firstLine="600"/>
        <w:spacing w:line="519" w:lineRule="atLeas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3.开标过程由采购代理机构负责记录。</w:t>
      </w:r>
      <w:r/>
    </w:p>
    <w:p>
      <w:pPr>
        <w:ind w:firstLine="600"/>
        <w:spacing w:line="519" w:lineRule="atLeas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4.投标人代表对开标过程和开标记录有疑义的，或者认为采购人、采购代理机构相关工作人员有需要回避情形的，应当场提出询问或者提出回避申请。</w:t>
      </w:r>
      <w:r/>
    </w:p>
    <w:p>
      <w:pPr>
        <w:ind w:firstLine="600"/>
        <w:spacing w:line="519" w:lineRule="atLeast"/>
        <w:shd w:val="clear" w:color="ffffff" w:fill="auto"/>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5.投标人未参加开标的，视同认可开标结果。</w:t>
      </w:r>
      <w:r/>
    </w:p>
    <w:p>
      <w:pPr>
        <w:ind w:firstLine="600"/>
        <w:spacing w:line="519" w:lineRule="atLeas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五、评标</w:t>
      </w:r>
      <w:r/>
    </w:p>
    <w:p>
      <w:pPr>
        <w:ind w:firstLine="600"/>
        <w:spacing w:line="519" w:lineRule="atLeas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（二十六）公开招标采购项目开标结束后，采购人依法对投标人的资格进行审查。合格投标人不足3家的，不得评标。</w:t>
      </w:r>
      <w:r/>
    </w:p>
    <w:p>
      <w:pPr>
        <w:ind w:firstLine="600"/>
        <w:spacing w:line="519" w:lineRule="atLeas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1.评标工作由采购代理机构负责组织，并履行下列职责：</w:t>
      </w:r>
      <w:r/>
    </w:p>
    <w:p>
      <w:pPr>
        <w:ind w:firstLine="600"/>
        <w:spacing w:line="519" w:lineRule="atLeas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（1）核对评审专家身份和采购人代表授权函，对评审专家在政府采购活动中的职责履行情况予以记录，并及时将有关违法违规行为向财政部门报告；</w:t>
      </w:r>
      <w:r/>
    </w:p>
    <w:p>
      <w:pPr>
        <w:ind w:firstLine="600"/>
        <w:spacing w:line="519" w:lineRule="atLeas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（2）宣布评标纪律；</w:t>
      </w:r>
      <w:r/>
    </w:p>
    <w:p>
      <w:pPr>
        <w:ind w:firstLine="600"/>
        <w:spacing w:line="519" w:lineRule="atLeas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（3）公布投标人名单，告知评审专家应当回避的情形；</w:t>
      </w:r>
      <w:r/>
    </w:p>
    <w:p>
      <w:pPr>
        <w:ind w:firstLine="600"/>
        <w:spacing w:line="519" w:lineRule="atLeas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（4）组织评审委员会推选评标组长（采购人代表不得担任组长）；</w:t>
      </w:r>
      <w:r/>
    </w:p>
    <w:p>
      <w:pPr>
        <w:ind w:firstLine="600"/>
        <w:spacing w:line="519" w:lineRule="atLeas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（5）在评标期间采取必要的通信管理措施，保证评标活动不受外界干扰；</w:t>
      </w:r>
      <w:r/>
    </w:p>
    <w:p>
      <w:pPr>
        <w:ind w:firstLine="600"/>
        <w:spacing w:line="519" w:lineRule="atLeas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（6）根据评审委员会的要求介绍政府采购相关政策法规、招标文件；</w:t>
      </w:r>
      <w:r/>
    </w:p>
    <w:p>
      <w:pPr>
        <w:ind w:firstLine="600"/>
        <w:spacing w:line="519" w:lineRule="atLeas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（7）维护评标秩序，监督评审委员会依照招标文件规定的评审程序、方法和标准进行独立评审，及时制止和纠正采购人代表、评审专家的倾向性言论或者违法违规行为；</w:t>
      </w:r>
      <w:r/>
    </w:p>
    <w:p>
      <w:pPr>
        <w:ind w:firstLine="600"/>
        <w:spacing w:line="519" w:lineRule="atLeas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（8）核对评审结果，对有《</w:t>
      </w:r>
      <w:r>
        <w:fldChar w:fldCharType="begin"/>
      </w:r>
      <w:r>
        <w:instrText xml:space="preserve"> HYPERLINK "http://www.caigou2003.com/" \o "http://www.caigou2003.com/" </w:instrText>
      </w:r>
      <w:r>
        <w:fldChar w:fldCharType="separate"/>
      </w:r>
      <w:r>
        <w:rPr>
          <w:rStyle w:val="942"/>
          <w:rFonts w:hint="eastAsia" w:ascii="宋体" w:hAnsi="宋体" w:cs="宋体"/>
          <w:color w:val="auto"/>
          <w:sz w:val="24"/>
          <w:u w:val="none"/>
        </w:rPr>
        <w:t xml:space="preserve">政府采购</w:t>
      </w:r>
      <w:r>
        <w:rPr>
          <w:rStyle w:val="942"/>
          <w:rFonts w:hint="eastAsia" w:ascii="宋体" w:hAnsi="宋体" w:cs="宋体"/>
          <w:color w:val="auto"/>
          <w:sz w:val="24"/>
          <w:u w:val="none"/>
        </w:rPr>
        <w:fldChar w:fldCharType="end"/>
      </w:r>
      <w:r>
        <w:rPr>
          <w:rFonts w:hint="eastAsia" w:ascii="宋体" w:hAnsi="宋体" w:cs="宋体"/>
          <w:sz w:val="24"/>
        </w:rPr>
        <w:t xml:space="preserve">货物和服务招标投标管理办法》第六十四条规定情形的，应要求评审委员会复核或者书面说明理由，评审委员会拒绝的，应予记录并向本级财政部门报告；</w:t>
      </w:r>
      <w:r/>
    </w:p>
    <w:p>
      <w:pPr>
        <w:ind w:firstLine="600"/>
        <w:spacing w:line="519" w:lineRule="atLeas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（9）评审工作完成后，按照规定向评审专家支付劳务报酬和异地评审差旅费，不得向评审专家以外的其他人员支付评审劳务报酬； </w:t>
      </w:r>
      <w:r/>
    </w:p>
    <w:p>
      <w:pPr>
        <w:ind w:firstLine="600"/>
        <w:spacing w:line="519" w:lineRule="atLeas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（10）处理与评标有关的其他事项。</w:t>
      </w:r>
      <w:r/>
    </w:p>
    <w:p>
      <w:pPr>
        <w:ind w:firstLine="600"/>
        <w:spacing w:line="519" w:lineRule="atLeas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采购人可以在评标前说明项目背景和采购需求，说明内容不得含有歧视性、倾向性意见，不得超出招标文件所述范围。其说明应当提交书面材料，并随采购文件一并存档。</w:t>
      </w:r>
      <w:r/>
    </w:p>
    <w:p>
      <w:pPr>
        <w:ind w:firstLine="600"/>
        <w:spacing w:line="519" w:lineRule="atLeas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2.评审委员会负责具体评标事务，并独立履行下列职责：</w:t>
      </w:r>
      <w:r/>
    </w:p>
    <w:p>
      <w:pPr>
        <w:ind w:firstLine="450"/>
        <w:spacing w:line="519" w:lineRule="atLeas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（1）审查、评价投标文件是否符合招标文件的商务、技术等实质性要求；</w:t>
      </w:r>
      <w:r/>
    </w:p>
    <w:p>
      <w:pPr>
        <w:ind w:firstLine="450"/>
        <w:spacing w:line="519" w:lineRule="atLeas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（2）要求投标人对投标文件有关事项作出澄清或者说明；</w:t>
      </w:r>
      <w:r/>
    </w:p>
    <w:p>
      <w:pPr>
        <w:ind w:firstLine="450"/>
        <w:spacing w:line="519" w:lineRule="atLeas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（3）对投标文件进行比较和评价；</w:t>
      </w:r>
      <w:r/>
    </w:p>
    <w:p>
      <w:pPr>
        <w:ind w:firstLine="450"/>
        <w:spacing w:line="519" w:lineRule="atLeas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（4）确定中标候选人名单，以及根据采购人委托直接确定中标人；</w:t>
      </w:r>
      <w:r/>
    </w:p>
    <w:p>
      <w:pPr>
        <w:ind w:firstLine="450"/>
        <w:spacing w:line="519" w:lineRule="atLeas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（5）向采购人、采购代理机构或有关部门报告评标中发现的违法行为。</w:t>
      </w:r>
      <w:r/>
    </w:p>
    <w:p>
      <w:pPr>
        <w:ind w:firstLine="450"/>
        <w:spacing w:line="519" w:lineRule="atLeas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（二十七）评标方法分为最低评标价法和综合评分法。</w:t>
      </w:r>
      <w:r/>
    </w:p>
    <w:p>
      <w:pPr>
        <w:ind w:firstLine="450"/>
        <w:spacing w:line="519" w:lineRule="atLeas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（二十八）评标</w:t>
      </w:r>
      <w:r/>
    </w:p>
    <w:p>
      <w:pPr>
        <w:ind w:firstLine="600"/>
        <w:spacing w:line="519" w:lineRule="atLeas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1.评标工作程序：</w:t>
      </w:r>
      <w:r/>
    </w:p>
    <w:p>
      <w:pPr>
        <w:ind w:firstLine="600"/>
        <w:spacing w:line="519" w:lineRule="atLeas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（1）投标文件初审。</w:t>
      </w:r>
      <w:r/>
    </w:p>
    <w:p>
      <w:pPr>
        <w:ind w:firstLine="600"/>
        <w:spacing w:line="519" w:lineRule="atLeas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①资格审查。</w:t>
      </w:r>
      <w:r/>
    </w:p>
    <w:p>
      <w:pPr>
        <w:ind w:firstLine="600"/>
        <w:spacing w:line="519" w:lineRule="atLeas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②符合性审查。</w:t>
      </w:r>
      <w:r/>
    </w:p>
    <w:p>
      <w:pPr>
        <w:ind w:firstLine="600"/>
        <w:spacing w:line="519" w:lineRule="atLeas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（2）澄清有关问题。</w:t>
      </w:r>
      <w:r/>
    </w:p>
    <w:p>
      <w:pPr>
        <w:ind w:firstLine="600"/>
        <w:spacing w:line="519" w:lineRule="atLeas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（3）比较与评价。</w:t>
      </w:r>
      <w:r/>
    </w:p>
    <w:p>
      <w:pPr>
        <w:ind w:firstLine="600"/>
        <w:spacing w:line="519" w:lineRule="atLeas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（4）推荐中标候选供应商名单。</w:t>
      </w:r>
      <w:r/>
    </w:p>
    <w:p>
      <w:pPr>
        <w:ind w:firstLine="600"/>
        <w:spacing w:line="519" w:lineRule="atLeas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（5）编写评审报告（评标报告）。</w:t>
      </w:r>
      <w:r/>
    </w:p>
    <w:p>
      <w:pPr>
        <w:ind w:firstLine="600"/>
        <w:spacing w:line="519" w:lineRule="atLeas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2.在评标中，不得改变招标文件中规定的评标标准、方法和中标条件。评审委员会对投标文件响应性的判定，要基于投标文件本身的内容，而不得寻求外部的证据。</w:t>
      </w:r>
      <w:r/>
    </w:p>
    <w:p>
      <w:pPr>
        <w:ind w:firstLine="600"/>
        <w:spacing w:line="519" w:lineRule="atLeast"/>
        <w:shd w:val="clear" w:color="ffffff" w:fill="auto"/>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3.采用</w:t>
      </w:r>
      <w:r>
        <w:fldChar w:fldCharType="begin"/>
      </w:r>
      <w:r>
        <w:instrText xml:space="preserve"> HYPERLINK "http://lilun.caigou2003.com/recijiedu/2365668.html" \o "http://lilun.caigou2003.com/recijiedu/2365668.html" </w:instrText>
      </w:r>
      <w:r>
        <w:fldChar w:fldCharType="separate"/>
      </w:r>
      <w:r>
        <w:rPr>
          <w:rStyle w:val="942"/>
          <w:rFonts w:hint="eastAsia" w:ascii="宋体" w:hAnsi="宋体" w:cs="宋体"/>
          <w:color w:val="auto"/>
          <w:sz w:val="24"/>
          <w:u w:val="none"/>
        </w:rPr>
        <w:t xml:space="preserve">最低评标价法</w:t>
      </w:r>
      <w:r>
        <w:rPr>
          <w:rStyle w:val="942"/>
          <w:rFonts w:hint="eastAsia" w:ascii="宋体" w:hAnsi="宋体" w:cs="宋体"/>
          <w:color w:val="auto"/>
          <w:sz w:val="24"/>
          <w:u w:val="none"/>
        </w:rPr>
        <w:fldChar w:fldCharType="end"/>
      </w:r>
      <w:r>
        <w:rPr>
          <w:rFonts w:hint="eastAsia" w:ascii="宋体" w:hAnsi="宋体" w:cs="宋体"/>
          <w:sz w:val="24"/>
        </w:rPr>
        <w:t xml:space="preserve">的采购项目，对提供相同品牌产品的不同投标人参加同一合同项下投标的，应以其中通过资格审查、符合性审查的，并且报价最低的参加评标；报价相同的，采取随机抽取方式确定，其他投标无效。</w:t>
      </w:r>
      <w:r/>
    </w:p>
    <w:p>
      <w:pPr>
        <w:ind w:firstLine="600"/>
        <w:spacing w:line="519" w:lineRule="atLeast"/>
        <w:shd w:val="clear" w:color="ffffff" w:fill="auto"/>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采用</w:t>
      </w:r>
      <w:r>
        <w:fldChar w:fldCharType="begin"/>
      </w:r>
      <w:r>
        <w:instrText xml:space="preserve"> HYPERLINK "http://lilun.caigou2003.com/recijiedu/2365667.html" \o "http://lilun.caigou2003.com/recijiedu/2365667.html" </w:instrText>
      </w:r>
      <w:r>
        <w:fldChar w:fldCharType="separate"/>
      </w:r>
      <w:r>
        <w:rPr>
          <w:rStyle w:val="942"/>
          <w:rFonts w:hint="eastAsia" w:ascii="宋体" w:hAnsi="宋体" w:cs="宋体"/>
          <w:color w:val="auto"/>
          <w:sz w:val="24"/>
          <w:u w:val="none"/>
        </w:rPr>
        <w:t xml:space="preserve">综合评分法</w:t>
      </w:r>
      <w:r>
        <w:rPr>
          <w:rStyle w:val="942"/>
          <w:rFonts w:hint="eastAsia" w:ascii="宋体" w:hAnsi="宋体" w:cs="宋体"/>
          <w:color w:val="auto"/>
          <w:sz w:val="24"/>
          <w:u w:val="none"/>
        </w:rPr>
        <w:fldChar w:fldCharType="end"/>
      </w:r>
      <w:r>
        <w:rPr>
          <w:rFonts w:hint="eastAsia" w:ascii="宋体" w:hAnsi="宋体" w:cs="宋体"/>
          <w:sz w:val="24"/>
        </w:rPr>
        <w:t xml:space="preserve">的采购项目，对提供相同品牌产品且通过资格审查、符合性审查的不同投标人参加同一合同项下投标的，按一家投标人计算，评审后得分最高的同品牌投标人获得中标人推荐资格；评审得分相同的，由评审委员会按照招标文件规定的方式确定一个投标人获得中标人推荐资格。招标文件未规定采取随机抽取方式确定的，其他同品牌投标人不作为中标候选人。</w:t>
      </w:r>
      <w:r/>
    </w:p>
    <w:p>
      <w:pPr>
        <w:ind w:firstLine="600"/>
        <w:spacing w:line="519" w:lineRule="atLeast"/>
        <w:shd w:val="clear" w:color="ffffff" w:fill="auto"/>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非单一产品采购项目，多家投标人提供的核心产品品牌相同的，按前两款规定处理。</w:t>
      </w:r>
      <w:r/>
    </w:p>
    <w:p>
      <w:pPr>
        <w:ind w:firstLine="600"/>
        <w:spacing w:line="519" w:lineRule="atLeas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（二十九）投标文件报价出现前后不一致的，按照下列规定修正：</w:t>
      </w:r>
      <w:r/>
    </w:p>
    <w:p>
      <w:pPr>
        <w:ind w:firstLine="600"/>
        <w:spacing w:line="519" w:lineRule="atLeas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1.投标文件中开标一览表（报价表）内容与投标文件中相应内容不一致的，以开标一览表（报价表）为准；</w:t>
      </w:r>
      <w:r/>
    </w:p>
    <w:p>
      <w:pPr>
        <w:ind w:firstLine="600"/>
        <w:spacing w:line="519" w:lineRule="atLeas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2.大写金额和小写金额不一致的，以大写金额为准；</w:t>
      </w:r>
      <w:r/>
    </w:p>
    <w:p>
      <w:pPr>
        <w:ind w:firstLine="600"/>
        <w:spacing w:line="519" w:lineRule="atLeas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3.单价金额小数点或者百分比有明显错位的，以开标一览表的总价为准，并修改单价；</w:t>
      </w:r>
      <w:r/>
    </w:p>
    <w:p>
      <w:pPr>
        <w:ind w:firstLine="600"/>
        <w:spacing w:line="519" w:lineRule="atLeas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4.总价金额与按单价合计金额不一致的，以单价金额计算结果为准。</w:t>
      </w:r>
      <w:r/>
    </w:p>
    <w:p>
      <w:pPr>
        <w:ind w:firstLine="600"/>
        <w:spacing w:line="519" w:lineRule="atLeas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同时出现两种以上不一致的，按照前款规定的顺序修正，将修正后的报价，形成投标人的澄清、说明或补正材料，经投标人确认后产生约束力，投标人不确认的，其投标无效。</w:t>
      </w:r>
      <w:r/>
    </w:p>
    <w:p>
      <w:pPr>
        <w:ind w:firstLine="600"/>
        <w:spacing w:line="519" w:lineRule="atLeas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投标人的澄清、说明或者补正应当采用书面形式，并加盖公章，或者由法定代表人或其授权的代表签字，投标人的澄清、说明或者补正不得超出投标文件的范围或者改变投标文件的实质性内容。</w:t>
      </w:r>
      <w:r/>
    </w:p>
    <w:p>
      <w:pPr>
        <w:pStyle w:val="826"/>
        <w:ind w:firstLine="482"/>
        <w:rPr>
          <w:rFonts w:ascii="宋体" w:hAnsi="宋体"/>
          <w:b/>
          <w:bCs/>
          <w:sz w:val="24"/>
        </w:rPr>
      </w:pPr>
      <w:r>
        <w:rPr>
          <w:rFonts w:hint="eastAsia" w:ascii="宋体" w:hAnsi="宋体" w:cs="宋体"/>
          <w:sz w:val="24"/>
        </w:rPr>
        <w:t xml:space="preserve">（三十）</w:t>
      </w:r>
      <w:r>
        <w:rPr>
          <w:rFonts w:hint="eastAsia" w:ascii="宋体" w:hAnsi="宋体"/>
          <w:b/>
          <w:bCs/>
          <w:sz w:val="24"/>
        </w:rPr>
        <w:t xml:space="preserve">评审过程中出现下列情形之一的，评审委员会应当启动异常低价投标（响应）审查程序：</w:t>
      </w:r>
      <w:r/>
    </w:p>
    <w:p>
      <w:pPr>
        <w:ind w:firstLine="360"/>
        <w:jc w:val="left"/>
        <w:widowControl/>
        <w:rPr>
          <w:rFonts w:ascii="宋体" w:hAnsi="宋体"/>
          <w:b/>
          <w:bCs/>
          <w:sz w:val="24"/>
        </w:rPr>
      </w:pPr>
      <w:r>
        <w:rPr>
          <w:rFonts w:ascii="宋体" w:hAnsi="宋体"/>
          <w:b/>
          <w:bCs/>
          <w:sz w:val="24"/>
        </w:rPr>
        <w:t xml:space="preserve">①</w:t>
      </w:r>
      <w:r>
        <w:rPr>
          <w:rFonts w:hint="eastAsia" w:ascii="宋体" w:hAnsi="宋体"/>
          <w:b/>
          <w:bCs/>
          <w:sz w:val="24"/>
        </w:rPr>
        <w:t xml:space="preserve">投标（响应）报价低于采购项目预算50%的，即投标（响应）报价&lt;采购项目预算</w:t>
      </w:r>
      <w:r>
        <w:rPr>
          <w:rFonts w:ascii="宋体" w:hAnsi="宋体"/>
          <w:b/>
          <w:bCs/>
          <w:sz w:val="24"/>
        </w:rPr>
        <w:t xml:space="preserve">×</w:t>
      </w:r>
      <w:r>
        <w:rPr>
          <w:rFonts w:hint="eastAsia" w:ascii="宋体" w:hAnsi="宋体"/>
          <w:b/>
          <w:bCs/>
          <w:sz w:val="24"/>
        </w:rPr>
        <w:t xml:space="preserve">50%；</w:t>
      </w:r>
      <w:r/>
    </w:p>
    <w:p>
      <w:pPr>
        <w:ind w:firstLine="360"/>
        <w:jc w:val="left"/>
        <w:widowControl/>
        <w:rPr>
          <w:rFonts w:ascii="宋体" w:hAnsi="宋体"/>
          <w:b/>
          <w:bCs/>
          <w:sz w:val="24"/>
        </w:rPr>
      </w:pPr>
      <w:r>
        <w:rPr>
          <w:rFonts w:ascii="宋体" w:hAnsi="宋体"/>
          <w:b/>
          <w:bCs/>
          <w:sz w:val="24"/>
        </w:rPr>
        <w:t xml:space="preserve">②</w:t>
      </w:r>
      <w:r>
        <w:rPr>
          <w:rFonts w:hint="eastAsia" w:ascii="宋体" w:hAnsi="宋体"/>
          <w:b/>
          <w:bCs/>
          <w:sz w:val="24"/>
        </w:rPr>
        <w:t xml:space="preserve">投标（响应）报价低于采购项目预算45%的，即投标（响应）报价&lt;采购项目预算</w:t>
      </w:r>
      <w:r>
        <w:rPr>
          <w:rFonts w:ascii="宋体" w:hAnsi="宋体"/>
          <w:b/>
          <w:bCs/>
          <w:sz w:val="24"/>
        </w:rPr>
        <w:t xml:space="preserve">×</w:t>
      </w:r>
      <w:r>
        <w:rPr>
          <w:rFonts w:hint="eastAsia" w:ascii="宋体" w:hAnsi="宋体"/>
          <w:b/>
          <w:bCs/>
          <w:sz w:val="24"/>
        </w:rPr>
        <w:t xml:space="preserve">45%；</w:t>
      </w:r>
      <w:r/>
    </w:p>
    <w:p>
      <w:pPr>
        <w:ind w:firstLine="360"/>
        <w:jc w:val="left"/>
        <w:widowControl/>
        <w:rPr>
          <w:rFonts w:ascii="宋体" w:hAnsi="宋体"/>
          <w:b/>
          <w:bCs/>
          <w:sz w:val="24"/>
        </w:rPr>
      </w:pPr>
      <w:r>
        <w:rPr>
          <w:rFonts w:ascii="宋体" w:hAnsi="宋体"/>
          <w:b/>
          <w:bCs/>
          <w:sz w:val="24"/>
        </w:rPr>
        <w:t xml:space="preserve">③</w:t>
      </w:r>
      <w:r>
        <w:rPr>
          <w:rFonts w:hint="eastAsia" w:ascii="宋体" w:hAnsi="宋体"/>
          <w:b/>
          <w:bCs/>
          <w:sz w:val="24"/>
        </w:rPr>
        <w:t xml:space="preserve">评审委员会认定的供应商报价过低、有可能影响产品质量或者不能诚信履约的其他情形。</w:t>
      </w:r>
      <w:r/>
    </w:p>
    <w:p>
      <w:pPr>
        <w:ind w:firstLine="360"/>
        <w:jc w:val="left"/>
        <w:widowControl/>
        <w:rPr>
          <w:rFonts w:ascii="宋体" w:hAnsi="宋体" w:cs="宋体"/>
          <w:sz w:val="24"/>
        </w:rPr>
      </w:pPr>
      <w:r>
        <w:rPr>
          <w:rFonts w:hint="eastAsia" w:ascii="宋体" w:hAnsi="宋体"/>
          <w:b/>
          <w:bCs/>
          <w:sz w:val="24"/>
        </w:rPr>
        <w:t xml:space="preserve">启动异常低价投标（响应）审查后，评审委员会应当要求相关供应商在“苏采云”系统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r/>
    </w:p>
    <w:p>
      <w:pPr>
        <w:ind w:firstLine="600"/>
        <w:spacing w:line="519" w:lineRule="atLeas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（三十一）评审委员会成员对需要共同认定的事项存在争议的，应当按照少数服从多数的原则作出结论，持不同意见的评审委员会成员应当在评标报告上签署不同意见及理由，否则视为同意评标报告。</w:t>
      </w:r>
      <w:r/>
    </w:p>
    <w:p>
      <w:pPr>
        <w:ind w:firstLine="600"/>
        <w:spacing w:line="519" w:lineRule="atLeas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（三十二）废标条款：</w:t>
      </w:r>
      <w:r/>
    </w:p>
    <w:p>
      <w:pPr>
        <w:ind w:firstLine="600"/>
        <w:spacing w:line="519" w:lineRule="atLeas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出现下列情形之一的，应予废标。</w:t>
      </w:r>
      <w:r/>
    </w:p>
    <w:p>
      <w:pPr>
        <w:ind w:firstLine="600"/>
        <w:spacing w:line="519" w:lineRule="atLeas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1.符合专业条件的供应商或者对招标文件作实质响应的供应商不足三家的；</w:t>
      </w:r>
      <w:r/>
    </w:p>
    <w:p>
      <w:pPr>
        <w:ind w:firstLine="600"/>
        <w:spacing w:line="519" w:lineRule="atLeas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2.出现影响采购公正的违法、违规行为的；</w:t>
      </w:r>
      <w:r/>
    </w:p>
    <w:p>
      <w:pPr>
        <w:ind w:firstLine="600"/>
        <w:spacing w:line="519" w:lineRule="atLeas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3.投标人的报价均超过了采购预算，采购人不能支付的；</w:t>
      </w:r>
      <w:r/>
    </w:p>
    <w:p>
      <w:pPr>
        <w:ind w:firstLine="600"/>
        <w:spacing w:line="519" w:lineRule="atLeas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4.因重大变故，采购任务取消的。</w:t>
      </w:r>
      <w:r/>
    </w:p>
    <w:p>
      <w:pPr>
        <w:ind w:firstLine="600"/>
        <w:spacing w:line="519" w:lineRule="atLeas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六、定标</w:t>
      </w:r>
      <w:r/>
    </w:p>
    <w:p>
      <w:pPr>
        <w:ind w:firstLine="600"/>
        <w:spacing w:line="519" w:lineRule="atLeas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（三十三）采购代理机构应当在评标结束后2个工作日内将评标报告送采购人。</w:t>
      </w:r>
      <w:r/>
    </w:p>
    <w:p>
      <w:pPr>
        <w:ind w:firstLine="600"/>
        <w:spacing w:line="519" w:lineRule="atLeas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（三十四）采购人应当自收到评标报告之日起5个工作日内，在评标报告确定的中标候选人名单中按顺序确定中标人。</w:t>
      </w:r>
      <w:r/>
    </w:p>
    <w:p>
      <w:pPr>
        <w:ind w:firstLine="600"/>
        <w:spacing w:line="519" w:lineRule="atLeas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（三十五）采购人有权对投标人投标文件的真实性进行核实，如果投标人不能在采购人规定的时间内向采购人提供有效的证明文件，将被采购人视为放弃中标资格。</w:t>
      </w:r>
      <w:r/>
    </w:p>
    <w:p>
      <w:pPr>
        <w:ind w:firstLine="600"/>
        <w:spacing w:line="519" w:lineRule="atLeas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七、政府采购合同</w:t>
      </w:r>
      <w:r/>
    </w:p>
    <w:p>
      <w:pPr>
        <w:ind w:firstLine="600"/>
        <w:spacing w:line="519" w:lineRule="atLeas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（三十六）签订政府采购合同（合同签订方式）：</w:t>
      </w:r>
      <w:r/>
    </w:p>
    <w:p>
      <w:pPr>
        <w:ind w:firstLine="600"/>
        <w:spacing w:line="519" w:lineRule="atLeas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1.采购人应当自中标通知书发出之日起30日内，按照招标文件和中标人投标文件的规定，与中标人签订书面合同，所签订的合同不得对招标文件确定的事项和中标人投标文件作实质性修改。</w:t>
      </w:r>
      <w:r/>
    </w:p>
    <w:p>
      <w:pPr>
        <w:ind w:firstLine="600"/>
        <w:spacing w:line="519" w:lineRule="atLeas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采购人不得向中标人提出任何不合理的要求作为签订合同的条件。</w:t>
      </w:r>
      <w:r/>
    </w:p>
    <w:p>
      <w:pPr>
        <w:ind w:firstLine="600"/>
        <w:spacing w:line="519" w:lineRule="atLeas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2.中标或者成交供应商拒绝与采购人签订合同的，采购人可以按照评审报告推荐的中标或者成交候选人名单排序，确定下一个候选人为中标或者成交供应商，也可以重新开展政府采购活动。</w:t>
      </w:r>
      <w:r/>
    </w:p>
    <w:p>
      <w:pPr>
        <w:ind w:firstLine="600"/>
        <w:spacing w:line="519" w:lineRule="atLeast"/>
        <w:shd w:val="clear" w:color="ffffff" w:fill="auto"/>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（三十七）采购人与中标人应当根据合同的约定依法履行合同义务，政府采购合同的履行、违约责任和解决争议的方法等，按《中华人民共和国民法典》相关条款执行。</w:t>
      </w:r>
      <w:r/>
    </w:p>
    <w:p>
      <w:pPr>
        <w:ind w:firstLine="600"/>
        <w:spacing w:line="519" w:lineRule="atLeast"/>
        <w:shd w:val="clear" w:color="ffffff" w:fill="auto"/>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（三十八）履约保证金：详见《第三章 投标资料表》。</w:t>
      </w:r>
      <w:r/>
    </w:p>
    <w:p>
      <w:pPr>
        <w:ind w:firstLine="600"/>
        <w:spacing w:line="519" w:lineRule="atLeast"/>
        <w:shd w:val="clear" w:color="ffffff" w:fill="auto"/>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（三十九）腐败和欺诈行为：</w:t>
      </w:r>
      <w:r/>
    </w:p>
    <w:p>
      <w:pPr>
        <w:ind w:firstLine="600"/>
        <w:spacing w:line="519" w:lineRule="atLeast"/>
        <w:shd w:val="clear" w:color="ffffff" w:fill="auto"/>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1.采购代理机构、采购人、投标人等参与招投标的各方，均应在招标、采购、合同执行等过程中保持廉洁和最高的道德水准。</w:t>
      </w:r>
      <w:r/>
    </w:p>
    <w:p>
      <w:pPr>
        <w:ind w:firstLine="600"/>
        <w:spacing w:line="519" w:lineRule="atLeast"/>
        <w:shd w:val="clear" w:color="ffffff" w:fill="auto"/>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（1）腐败和欺诈行为的含义：</w:t>
      </w:r>
      <w:r/>
    </w:p>
    <w:p>
      <w:pPr>
        <w:ind w:firstLine="600"/>
        <w:spacing w:line="519" w:lineRule="atLeast"/>
        <w:shd w:val="clear" w:color="ffffff" w:fill="auto"/>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①“腐败行为”系指在招标、采购和合同执行等过程中，为了谋求私利，影响相关人员提供、给予、接受或索取有价物品，并导致损害买方、卖方、采购代理机构和他人利益的行为。</w:t>
      </w:r>
      <w:r/>
    </w:p>
    <w:p>
      <w:pPr>
        <w:ind w:firstLine="600"/>
        <w:spacing w:line="519" w:lineRule="atLeast"/>
        <w:shd w:val="clear" w:color="ffffff" w:fill="auto"/>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②“欺诈行为”系指为了影响招标、采购和合同执行等过程，隐瞒事实真相，给买方、卖方、采购代理机构及他人造成损害的行为，其中包括投标人之间的串通行为。</w:t>
      </w:r>
      <w:r/>
    </w:p>
    <w:p>
      <w:pPr>
        <w:ind w:firstLine="600"/>
        <w:spacing w:line="519" w:lineRule="atLeast"/>
        <w:shd w:val="clear" w:color="ffffff" w:fill="auto"/>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（2）如果被推荐的中标人有腐败和欺诈行为，将取消其中标资格。</w:t>
      </w:r>
      <w:r/>
    </w:p>
    <w:p>
      <w:pPr>
        <w:ind w:firstLine="600"/>
        <w:spacing w:line="519" w:lineRule="atLeast"/>
        <w:shd w:val="clear" w:color="ffffff" w:fill="auto"/>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（3）如果投标人在任何时候，被法院及政府有关管理部门认定为有腐败和欺诈行为，采购代理机构有权拒绝其投标、取消其中标资格和撤销其已签署的合同。</w:t>
      </w:r>
      <w:r/>
    </w:p>
    <w:p>
      <w:pPr>
        <w:ind w:firstLine="600"/>
        <w:spacing w:line="519" w:lineRule="atLeas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八、询问和质疑</w:t>
      </w:r>
      <w:r/>
    </w:p>
    <w:p>
      <w:pPr>
        <w:ind w:firstLine="600"/>
        <w:spacing w:line="519" w:lineRule="atLeas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（四十）询问和质疑</w:t>
      </w:r>
      <w:r/>
    </w:p>
    <w:p>
      <w:pPr>
        <w:ind w:firstLine="600"/>
        <w:spacing w:line="519" w:lineRule="atLeast"/>
        <w:rPr>
          <w:rFonts w:ascii="宋体" w:hAnsi="宋体" w:cs="宋体"/>
          <w:b/>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供应商对政府采购活动事项有疑问的，可以向采购人或采购代理机构提出询问；供应商认为采购文件、采购过程和中标、成交结果使自己的权益受到损害的，可以在知道或者应知其权益受到损害之日起，七个工作日内以书面形式向采购代理机构提出质疑，询问和质疑由采购代理机构依法处理。</w:t>
      </w:r>
      <w:r>
        <w:rPr>
          <w:rFonts w:hint="eastAsia" w:ascii="宋体" w:hAnsi="宋体" w:cs="宋体"/>
          <w:b/>
          <w:sz w:val="24"/>
        </w:rPr>
        <w:t xml:space="preserve"> </w:t>
      </w:r>
      <w:r/>
    </w:p>
    <w:p>
      <w:pPr>
        <w:ind w:firstLine="600"/>
        <w:spacing w:line="519" w:lineRule="atLeas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九、电子招标投标交易平台</w:t>
      </w:r>
      <w:r/>
    </w:p>
    <w:p>
      <w:pPr>
        <w:ind w:firstLine="601"/>
        <w:jc w:val="left"/>
        <w:spacing w:line="519" w:lineRule="atLeas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（四十一）电子招标投标交易平台（即“苏采云”系统，网址：http://jszfcg.jsczt.cn/）相关要求是本招标文件的组成部分。</w:t>
      </w:r>
      <w:r/>
    </w:p>
    <w:p>
      <w:pPr>
        <w:ind w:firstLine="602"/>
        <w:jc w:val="center"/>
        <w:spacing w:line="360" w:lineRule="atLeast"/>
        <w:rPr>
          <w:rFonts w:ascii="宋体" w:hAnsi="宋体" w:cs="宋体"/>
        </w:rPr>
        <w:pBdr>
          <w:top w:val="none" w:color="000000" w:sz="0" w:space="0"/>
          <w:left w:val="none" w:color="000000" w:sz="0" w:space="0"/>
          <w:bottom w:val="none" w:color="000000" w:sz="0" w:space="0"/>
          <w:right w:val="none" w:color="000000" w:sz="0" w:space="0"/>
        </w:pBdr>
      </w:pPr>
      <w:r>
        <w:rPr>
          <w:rFonts w:ascii="宋体" w:hAnsi="宋体" w:cs="宋体"/>
        </w:rPr>
      </w:r>
      <w:r/>
    </w:p>
    <w:p>
      <w:pPr>
        <w:jc w:val="center"/>
        <w:spacing w:line="720" w:lineRule="atLeast"/>
        <w:rPr>
          <w:rFonts w:ascii="宋体" w:hAnsi="宋体" w:cs="宋体"/>
          <w:sz w:val="28"/>
          <w:szCs w:val="28"/>
        </w:rPr>
        <w:pBdr>
          <w:top w:val="none" w:color="000000" w:sz="0" w:space="0"/>
          <w:left w:val="none" w:color="000000" w:sz="0" w:space="0"/>
          <w:bottom w:val="none" w:color="000000" w:sz="0" w:space="0"/>
          <w:right w:val="none" w:color="000000" w:sz="0" w:space="0"/>
        </w:pBdr>
        <w:outlineLvl w:val="0"/>
      </w:pPr>
      <w:r>
        <w:rPr>
          <w:rFonts w:hint="eastAsia" w:ascii="宋体" w:hAnsi="宋体" w:cs="宋体"/>
        </w:rPr>
        <w:br w:type="page" w:clear="all"/>
      </w:r>
      <w:r>
        <w:rPr>
          <w:rFonts w:hint="eastAsia" w:ascii="宋体" w:hAnsi="宋体" w:cs="宋体"/>
          <w:b/>
          <w:sz w:val="28"/>
          <w:szCs w:val="28"/>
        </w:rPr>
        <w:t xml:space="preserve">第三章 投标资料表</w:t>
      </w:r>
      <w:r/>
    </w:p>
    <w:p>
      <w:pPr>
        <w:ind w:firstLine="600"/>
        <w:jc w:val="center"/>
        <w:spacing w:line="360" w:lineRule="atLeast"/>
        <w:rPr>
          <w:rFonts w:ascii="宋体" w:hAnsi="宋体" w:cs="宋体"/>
        </w:rPr>
        <w:pBdr>
          <w:top w:val="none" w:color="000000" w:sz="0" w:space="0"/>
          <w:left w:val="none" w:color="000000" w:sz="0" w:space="0"/>
          <w:bottom w:val="none" w:color="000000" w:sz="0" w:space="0"/>
          <w:right w:val="none" w:color="000000" w:sz="0" w:space="0"/>
        </w:pBdr>
      </w:pPr>
      <w:r>
        <w:rPr>
          <w:rFonts w:ascii="宋体" w:hAnsi="宋体" w:cs="宋体"/>
        </w:rPr>
      </w:r>
      <w:r/>
    </w:p>
    <w:p>
      <w:pPr>
        <w:ind w:firstLine="600"/>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该资料表的条款项号是与《投标人须知》的条款项号相对应的，若有增加的条款，是对《投标人须知》的补充、修改和完善，如果因此而造成矛盾时，应以本资料表为准。</w:t>
      </w:r>
      <w:r/>
    </w:p>
    <w:tbl>
      <w:tblPr>
        <w:tblStyle w:val="802"/>
        <w:tblW w:w="978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471"/>
        <w:gridCol w:w="8313"/>
      </w:tblGrid>
      <w:tr>
        <w:trPr>
          <w:jc w:val="center"/>
        </w:trPr>
        <w:tc>
          <w:tcPr>
            <w:tcMar>
              <w:left w:w="108" w:type="dxa"/>
              <w:top w:w="0" w:type="dxa"/>
              <w:right w:w="108" w:type="dxa"/>
              <w:bottom w:w="0" w:type="dxa"/>
            </w:tcMar>
            <w:tcW w:w="1471" w:type="dxa"/>
            <w:textDirection w:val="lrTb"/>
            <w:noWrap w:val="false"/>
          </w:tcPr>
          <w:p>
            <w:pPr>
              <w:jc w:val="center"/>
              <w:spacing w:line="360" w:lineRule="auto"/>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b/>
                <w:sz w:val="24"/>
              </w:rPr>
              <w:t xml:space="preserve">条款项号</w:t>
            </w:r>
            <w:r/>
          </w:p>
        </w:tc>
        <w:tc>
          <w:tcPr>
            <w:tcMar>
              <w:left w:w="108" w:type="dxa"/>
              <w:top w:w="0" w:type="dxa"/>
              <w:right w:w="108" w:type="dxa"/>
              <w:bottom w:w="0" w:type="dxa"/>
            </w:tcMar>
            <w:tcW w:w="8313" w:type="dxa"/>
            <w:textDirection w:val="lrTb"/>
            <w:noWrap w:val="false"/>
          </w:tcPr>
          <w:p>
            <w:pPr>
              <w:jc w:val="center"/>
              <w:spacing w:line="360" w:lineRule="auto"/>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b/>
                <w:sz w:val="24"/>
              </w:rPr>
              <w:t xml:space="preserve">内 容</w:t>
            </w:r>
            <w:r/>
          </w:p>
        </w:tc>
      </w:tr>
      <w:tr>
        <w:trPr>
          <w:jc w:val="center"/>
        </w:trPr>
        <w:tc>
          <w:tcPr>
            <w:tcMar>
              <w:left w:w="108" w:type="dxa"/>
              <w:top w:w="0" w:type="dxa"/>
              <w:right w:w="108" w:type="dxa"/>
              <w:bottom w:w="0" w:type="dxa"/>
            </w:tcMar>
            <w:tcW w:w="1471" w:type="dxa"/>
            <w:textDirection w:val="lrTb"/>
            <w:noWrap w:val="false"/>
          </w:tcPr>
          <w:p>
            <w:pPr>
              <w:jc w:val="center"/>
              <w:spacing w:line="360" w:lineRule="auto"/>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一</w:t>
            </w:r>
            <w:r/>
          </w:p>
        </w:tc>
        <w:tc>
          <w:tcPr>
            <w:tcMar>
              <w:left w:w="108" w:type="dxa"/>
              <w:top w:w="0" w:type="dxa"/>
              <w:right w:w="108" w:type="dxa"/>
              <w:bottom w:w="0" w:type="dxa"/>
            </w:tcMar>
            <w:tcW w:w="8313" w:type="dxa"/>
            <w:textDirection w:val="lrTb"/>
            <w:noWrap w:val="false"/>
          </w:tcPr>
          <w:p>
            <w:pPr>
              <w:spacing w:line="360" w:lineRule="auto"/>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总则</w:t>
            </w:r>
            <w:r/>
          </w:p>
        </w:tc>
      </w:tr>
      <w:tr>
        <w:trPr>
          <w:jc w:val="center"/>
        </w:trPr>
        <w:tc>
          <w:tcPr>
            <w:tcMar>
              <w:left w:w="108" w:type="dxa"/>
              <w:top w:w="0" w:type="dxa"/>
              <w:right w:w="108" w:type="dxa"/>
              <w:bottom w:w="0" w:type="dxa"/>
            </w:tcMar>
            <w:tcW w:w="1471" w:type="dxa"/>
            <w:textDirection w:val="lrTb"/>
            <w:noWrap w:val="false"/>
          </w:tcPr>
          <w:p>
            <w:pPr>
              <w:jc w:val="center"/>
              <w:spacing w:line="360" w:lineRule="auto"/>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（一）</w:t>
            </w:r>
            <w:r/>
          </w:p>
        </w:tc>
        <w:tc>
          <w:tcPr>
            <w:tcMar>
              <w:left w:w="108" w:type="dxa"/>
              <w:top w:w="0" w:type="dxa"/>
              <w:right w:w="108" w:type="dxa"/>
              <w:bottom w:w="0" w:type="dxa"/>
            </w:tcMar>
            <w:tcW w:w="8313" w:type="dxa"/>
            <w:textDirection w:val="lrTb"/>
            <w:noWrap w:val="false"/>
          </w:tcPr>
          <w:p>
            <w:pPr>
              <w:spacing w:line="360" w:lineRule="auto"/>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本项目采购人：徐州市第一人民医院</w:t>
            </w:r>
            <w:r/>
          </w:p>
        </w:tc>
      </w:tr>
      <w:tr>
        <w:trPr>
          <w:jc w:val="center"/>
        </w:trPr>
        <w:tc>
          <w:tcPr>
            <w:tcMar>
              <w:left w:w="108" w:type="dxa"/>
              <w:top w:w="0" w:type="dxa"/>
              <w:right w:w="108" w:type="dxa"/>
              <w:bottom w:w="0" w:type="dxa"/>
            </w:tcMar>
            <w:tcW w:w="1471" w:type="dxa"/>
            <w:textDirection w:val="lrTb"/>
            <w:noWrap w:val="false"/>
          </w:tcPr>
          <w:p>
            <w:pPr>
              <w:jc w:val="center"/>
              <w:spacing w:line="360" w:lineRule="auto"/>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（二）</w:t>
            </w:r>
            <w:r/>
          </w:p>
        </w:tc>
        <w:tc>
          <w:tcPr>
            <w:tcMar>
              <w:left w:w="108" w:type="dxa"/>
              <w:top w:w="0" w:type="dxa"/>
              <w:right w:w="108" w:type="dxa"/>
              <w:bottom w:w="0" w:type="dxa"/>
            </w:tcMar>
            <w:tcW w:w="8313" w:type="dxa"/>
            <w:textDirection w:val="lrTb"/>
            <w:noWrap w:val="false"/>
          </w:tcPr>
          <w:p>
            <w:pPr>
              <w:spacing w:line="360" w:lineRule="auto"/>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本次采购采用的政府采购方式：公开招标</w:t>
            </w:r>
            <w:r/>
          </w:p>
        </w:tc>
      </w:tr>
      <w:tr>
        <w:trPr>
          <w:jc w:val="center"/>
        </w:trPr>
        <w:tc>
          <w:tcPr>
            <w:tcMar>
              <w:left w:w="108" w:type="dxa"/>
              <w:top w:w="0" w:type="dxa"/>
              <w:right w:w="108" w:type="dxa"/>
              <w:bottom w:w="0" w:type="dxa"/>
            </w:tcMar>
            <w:tcW w:w="1471" w:type="dxa"/>
            <w:textDirection w:val="lrTb"/>
            <w:noWrap w:val="false"/>
          </w:tcPr>
          <w:p>
            <w:pPr>
              <w:jc w:val="center"/>
              <w:spacing w:line="360" w:lineRule="auto"/>
              <w:rPr>
                <w:rFonts w:ascii="宋体" w:hAnsi="宋体" w:cs="宋体"/>
                <w:b/>
                <w:bCs/>
                <w:sz w:val="24"/>
              </w:rPr>
              <w:pBdr>
                <w:top w:val="none" w:color="000000" w:sz="0" w:space="0"/>
                <w:left w:val="none" w:color="000000" w:sz="0" w:space="0"/>
                <w:bottom w:val="none" w:color="000000" w:sz="0" w:space="0"/>
                <w:right w:val="none" w:color="000000" w:sz="0" w:space="0"/>
              </w:pBdr>
            </w:pPr>
            <w:r>
              <w:rPr>
                <w:rFonts w:hint="eastAsia" w:ascii="宋体" w:hAnsi="宋体" w:cs="宋体"/>
                <w:b/>
                <w:bCs/>
                <w:sz w:val="24"/>
              </w:rPr>
              <w:t xml:space="preserve">（四）</w:t>
            </w:r>
            <w:r/>
          </w:p>
        </w:tc>
        <w:tc>
          <w:tcPr>
            <w:tcMar>
              <w:left w:w="108" w:type="dxa"/>
              <w:top w:w="0" w:type="dxa"/>
              <w:right w:w="108" w:type="dxa"/>
              <w:bottom w:w="0" w:type="dxa"/>
            </w:tcMar>
            <w:tcW w:w="8313" w:type="dxa"/>
            <w:textDirection w:val="lrTb"/>
            <w:noWrap w:val="false"/>
          </w:tcPr>
          <w:p>
            <w:pPr>
              <w:spacing w:line="360" w:lineRule="auto"/>
              <w:rPr>
                <w:rFonts w:ascii="宋体" w:hAnsi="宋体" w:cs="宋体"/>
                <w:b/>
                <w:bCs/>
                <w:sz w:val="24"/>
              </w:rPr>
              <w:pBdr>
                <w:top w:val="none" w:color="000000" w:sz="0" w:space="0"/>
                <w:left w:val="none" w:color="000000" w:sz="0" w:space="0"/>
                <w:bottom w:val="none" w:color="000000" w:sz="0" w:space="0"/>
                <w:right w:val="none" w:color="000000" w:sz="0" w:space="0"/>
              </w:pBdr>
            </w:pPr>
            <w:r>
              <w:rPr>
                <w:rFonts w:hint="eastAsia" w:ascii="宋体" w:hAnsi="宋体" w:cs="宋体"/>
                <w:b/>
                <w:bCs/>
                <w:sz w:val="24"/>
              </w:rPr>
              <w:t xml:space="preserve">采购人确定的采购项目属性：货物</w:t>
            </w:r>
            <w:r/>
          </w:p>
        </w:tc>
      </w:tr>
      <w:tr>
        <w:trPr>
          <w:jc w:val="center"/>
        </w:trPr>
        <w:tc>
          <w:tcPr>
            <w:tcMar>
              <w:left w:w="108" w:type="dxa"/>
              <w:top w:w="0" w:type="dxa"/>
              <w:right w:w="108" w:type="dxa"/>
              <w:bottom w:w="0" w:type="dxa"/>
            </w:tcMar>
            <w:tcW w:w="1471" w:type="dxa"/>
            <w:textDirection w:val="lrTb"/>
            <w:noWrap w:val="false"/>
          </w:tcPr>
          <w:p>
            <w:pPr>
              <w:jc w:val="center"/>
              <w:spacing w:line="360" w:lineRule="auto"/>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（五）</w:t>
            </w:r>
            <w:r/>
          </w:p>
        </w:tc>
        <w:tc>
          <w:tcPr>
            <w:tcMar>
              <w:left w:w="108" w:type="dxa"/>
              <w:top w:w="0" w:type="dxa"/>
              <w:right w:w="108" w:type="dxa"/>
              <w:bottom w:w="0" w:type="dxa"/>
            </w:tcMar>
            <w:tcW w:w="8313" w:type="dxa"/>
            <w:textDirection w:val="lrTb"/>
            <w:noWrap w:val="false"/>
          </w:tcPr>
          <w:p>
            <w:pPr>
              <w:spacing w:line="360" w:lineRule="auto"/>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本项目采购代理机构：江苏中瑞建设项目管理有限公司</w:t>
            </w:r>
            <w:r/>
          </w:p>
        </w:tc>
      </w:tr>
      <w:tr>
        <w:trPr>
          <w:jc w:val="center"/>
          <w:trHeight w:val="444"/>
        </w:trPr>
        <w:tc>
          <w:tcPr>
            <w:tcMar>
              <w:left w:w="108" w:type="dxa"/>
              <w:top w:w="0" w:type="dxa"/>
              <w:right w:w="108" w:type="dxa"/>
              <w:bottom w:w="0" w:type="dxa"/>
            </w:tcMar>
            <w:tcW w:w="1471" w:type="dxa"/>
            <w:textDirection w:val="lrTb"/>
            <w:noWrap w:val="false"/>
          </w:tcPr>
          <w:p>
            <w:pPr>
              <w:jc w:val="center"/>
              <w:spacing w:line="360" w:lineRule="auto"/>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（六）</w:t>
            </w:r>
            <w:r/>
          </w:p>
        </w:tc>
        <w:tc>
          <w:tcPr>
            <w:tcMar>
              <w:left w:w="108" w:type="dxa"/>
              <w:top w:w="0" w:type="dxa"/>
              <w:right w:w="108" w:type="dxa"/>
              <w:bottom w:w="0" w:type="dxa"/>
            </w:tcMar>
            <w:tcW w:w="8313" w:type="dxa"/>
            <w:textDirection w:val="lrTb"/>
            <w:noWrap w:val="false"/>
          </w:tcPr>
          <w:p>
            <w:pPr>
              <w:spacing w:line="360" w:lineRule="auto"/>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投标人的资格条件：</w:t>
            </w:r>
            <w:r/>
          </w:p>
          <w:p>
            <w:pPr>
              <w:spacing w:line="360" w:lineRule="auto"/>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一、符合《中华人民共和国政府采购法》第二十二条的规定；</w:t>
            </w:r>
            <w:r/>
          </w:p>
          <w:p>
            <w:pPr>
              <w:spacing w:line="360" w:lineRule="auto"/>
              <w:rPr>
                <w:rFonts w:ascii="宋体" w:hAnsi="宋体" w:cs="宋体"/>
                <w:bCs/>
                <w:sz w:val="24"/>
              </w:rPr>
              <w:pBdr>
                <w:top w:val="none" w:color="000000" w:sz="0" w:space="0"/>
                <w:left w:val="none" w:color="000000" w:sz="0" w:space="0"/>
                <w:bottom w:val="none" w:color="000000" w:sz="0" w:space="0"/>
                <w:right w:val="none" w:color="000000" w:sz="0" w:space="0"/>
              </w:pBdr>
            </w:pPr>
            <w:r>
              <w:rPr>
                <w:rFonts w:hint="eastAsia" w:ascii="宋体" w:hAnsi="宋体" w:cs="宋体"/>
                <w:b/>
                <w:sz w:val="24"/>
              </w:rPr>
              <w:t xml:space="preserve">二、特定资格要求：无</w:t>
            </w:r>
            <w:r/>
          </w:p>
          <w:p>
            <w:pPr>
              <w:spacing w:line="360" w:lineRule="auto"/>
              <w:rPr>
                <w:rFonts w:ascii="宋体" w:hAnsi="宋体" w:cs="宋体"/>
                <w:bCs/>
                <w:sz w:val="24"/>
              </w:rPr>
              <w:pBdr>
                <w:top w:val="none" w:color="000000" w:sz="0" w:space="0"/>
                <w:left w:val="none" w:color="000000" w:sz="0" w:space="0"/>
                <w:bottom w:val="none" w:color="000000" w:sz="0" w:space="0"/>
                <w:right w:val="none" w:color="000000" w:sz="0" w:space="0"/>
              </w:pBdr>
            </w:pPr>
            <w:r>
              <w:rPr>
                <w:rFonts w:hint="eastAsia" w:ascii="宋体" w:hAnsi="宋体" w:cs="宋体"/>
                <w:bCs/>
                <w:sz w:val="24"/>
              </w:rPr>
              <w:t xml:space="preserve">三、本项目属于专门面向中小微企业采购的项目，供应商所提供的货物全部由符合政策要求的中小企业制造，供应商提供的货物的制造商应全部为中小微企业、监狱企业、残疾人福利性单位。</w:t>
            </w:r>
            <w:r/>
          </w:p>
          <w:p>
            <w:pPr>
              <w:spacing w:line="360" w:lineRule="auto"/>
              <w:rPr>
                <w:rFonts w:ascii="宋体" w:hAnsi="宋体" w:cs="宋体"/>
                <w:bCs/>
                <w:sz w:val="24"/>
              </w:rPr>
              <w:pBdr>
                <w:top w:val="none" w:color="000000" w:sz="0" w:space="0"/>
                <w:left w:val="none" w:color="000000" w:sz="0" w:space="0"/>
                <w:bottom w:val="none" w:color="000000" w:sz="0" w:space="0"/>
                <w:right w:val="none" w:color="000000" w:sz="0" w:space="0"/>
              </w:pBdr>
            </w:pPr>
            <w:r>
              <w:rPr>
                <w:rFonts w:hint="eastAsia" w:ascii="宋体" w:hAnsi="宋体" w:cs="宋体"/>
                <w:bCs/>
                <w:sz w:val="24"/>
              </w:rPr>
              <w:t xml:space="preserve">四、本项目是否接受进口产品：否。</w:t>
            </w:r>
            <w:r/>
          </w:p>
          <w:p>
            <w:pPr>
              <w:spacing w:line="360" w:lineRule="auto"/>
              <w:rPr>
                <w:rFonts w:ascii="宋体" w:hAnsi="宋体" w:cs="宋体"/>
                <w:bCs/>
                <w:sz w:val="24"/>
              </w:rPr>
              <w:pBdr>
                <w:top w:val="none" w:color="000000" w:sz="0" w:space="0"/>
                <w:left w:val="none" w:color="000000" w:sz="0" w:space="0"/>
                <w:bottom w:val="none" w:color="000000" w:sz="0" w:space="0"/>
                <w:right w:val="none" w:color="000000" w:sz="0" w:space="0"/>
              </w:pBdr>
            </w:pPr>
            <w:r>
              <w:rPr>
                <w:rFonts w:hint="eastAsia" w:ascii="宋体" w:hAnsi="宋体" w:cs="宋体"/>
                <w:bCs/>
                <w:sz w:val="24"/>
              </w:rPr>
              <w:t xml:space="preserve">同时明确相关事项如下：</w:t>
            </w:r>
            <w:r/>
          </w:p>
          <w:p>
            <w:pPr>
              <w:spacing w:line="360" w:lineRule="auto"/>
              <w:rPr>
                <w:rFonts w:ascii="宋体" w:hAnsi="宋体" w:cs="宋体"/>
                <w:bCs/>
                <w:sz w:val="24"/>
              </w:rPr>
              <w:pBdr>
                <w:top w:val="none" w:color="000000" w:sz="0" w:space="0"/>
                <w:left w:val="none" w:color="000000" w:sz="0" w:space="0"/>
                <w:bottom w:val="none" w:color="000000" w:sz="0" w:space="0"/>
                <w:right w:val="none" w:color="000000" w:sz="0" w:space="0"/>
              </w:pBdr>
            </w:pPr>
            <w:r>
              <w:rPr>
                <w:rFonts w:hint="eastAsia" w:ascii="宋体" w:hAnsi="宋体" w:cs="宋体"/>
                <w:bCs/>
                <w:sz w:val="24"/>
              </w:rPr>
              <w:t xml:space="preserve">1.本项目不接受联合体参与采购活动。</w:t>
            </w:r>
            <w:r/>
          </w:p>
          <w:p>
            <w:pPr>
              <w:spacing w:line="360" w:lineRule="auto"/>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bCs/>
                <w:sz w:val="24"/>
              </w:rPr>
              <w:t xml:space="preserve">2.单位负责人为同一</w:t>
            </w:r>
            <w:r>
              <w:rPr>
                <w:rFonts w:hint="eastAsia" w:ascii="宋体" w:hAnsi="宋体" w:cs="宋体"/>
                <w:sz w:val="24"/>
              </w:rPr>
              <w:t xml:space="preserve">人或者存在直接控股、管理关系的不同供应商，不得参加同一合同项下的政府采购活动。</w:t>
            </w:r>
            <w:r/>
          </w:p>
          <w:p>
            <w:pPr>
              <w:spacing w:line="360" w:lineRule="auto"/>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3.为本采购项目提供整体设计、规范编制或者项目管理、监理、检测等服务的供应商，不得再参加本采购项目的采购活动。</w:t>
            </w:r>
            <w:r/>
          </w:p>
          <w:p>
            <w:pPr>
              <w:spacing w:line="360" w:lineRule="auto"/>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四、查询及使用供应商信用记录：</w:t>
            </w:r>
            <w:r/>
          </w:p>
          <w:p>
            <w:pPr>
              <w:spacing w:line="360" w:lineRule="auto"/>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（一）由采购人查询信用信息。</w:t>
            </w:r>
            <w:r/>
          </w:p>
          <w:p>
            <w:pPr>
              <w:spacing w:line="360" w:lineRule="auto"/>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（二）查询渠道包括：</w:t>
            </w:r>
            <w:r/>
          </w:p>
          <w:p>
            <w:pPr>
              <w:jc w:val="left"/>
              <w:spacing w:line="360" w:lineRule="auto"/>
              <w:rPr>
                <w:rFonts w:ascii="宋体" w:hAnsi="宋体"/>
                <w:sz w:val="24"/>
              </w:rPr>
            </w:pPr>
            <w:r>
              <w:rPr>
                <w:rFonts w:hint="eastAsia" w:ascii="宋体" w:hAnsi="宋体"/>
                <w:sz w:val="24"/>
              </w:rPr>
              <w:t xml:space="preserve">1.“信用中国”网（www.creditchina.gov.cn）；</w:t>
            </w:r>
            <w:r/>
          </w:p>
          <w:p>
            <w:pPr>
              <w:jc w:val="left"/>
              <w:spacing w:line="360" w:lineRule="auto"/>
              <w:rPr>
                <w:rFonts w:ascii="宋体" w:hAnsi="宋体"/>
                <w:sz w:val="24"/>
              </w:rPr>
            </w:pPr>
            <w:r>
              <w:rPr>
                <w:rFonts w:hint="eastAsia" w:ascii="宋体" w:hAnsi="宋体"/>
                <w:sz w:val="24"/>
              </w:rPr>
              <w:t xml:space="preserve">2.“中国政府采购”网（www.ccgp.gov.cn）；</w:t>
            </w:r>
            <w:r/>
          </w:p>
          <w:p>
            <w:pPr>
              <w:jc w:val="left"/>
              <w:spacing w:line="360" w:lineRule="auto"/>
              <w:rPr>
                <w:rFonts w:ascii="宋体" w:hAnsi="宋体"/>
                <w:sz w:val="24"/>
              </w:rPr>
            </w:pPr>
            <w:r>
              <w:rPr>
                <w:rFonts w:hint="eastAsia" w:ascii="宋体" w:hAnsi="宋体"/>
                <w:sz w:val="24"/>
              </w:rPr>
              <w:t xml:space="preserve">3.“信用江苏”网（http://credit.jiangsu.gov.cn）；</w:t>
            </w:r>
            <w:r/>
          </w:p>
          <w:p>
            <w:pPr>
              <w:jc w:val="left"/>
              <w:spacing w:line="360" w:lineRule="auto"/>
              <w:rPr>
                <w:rFonts w:ascii="宋体" w:hAnsi="宋体"/>
                <w:sz w:val="24"/>
              </w:rPr>
            </w:pPr>
            <w:r>
              <w:rPr>
                <w:rFonts w:hint="eastAsia" w:ascii="宋体" w:hAnsi="宋体"/>
                <w:sz w:val="24"/>
              </w:rPr>
              <w:t xml:space="preserve">4.“信用中国（江苏徐州）”网（www.xuzhoucredit.gov.cn）；</w:t>
            </w:r>
            <w:r/>
          </w:p>
          <w:p>
            <w:pPr>
              <w:spacing w:line="360" w:lineRule="auto"/>
              <w:rPr>
                <w:rFonts w:ascii="宋体" w:hAnsi="宋体" w:cs="宋体"/>
                <w:b/>
                <w:bCs/>
                <w:sz w:val="24"/>
              </w:rPr>
              <w:pBdr>
                <w:top w:val="none" w:color="000000" w:sz="0" w:space="0"/>
                <w:left w:val="none" w:color="000000" w:sz="0" w:space="0"/>
                <w:bottom w:val="none" w:color="000000" w:sz="0" w:space="0"/>
                <w:right w:val="none" w:color="000000" w:sz="0" w:space="0"/>
              </w:pBdr>
            </w:pPr>
            <w:r>
              <w:rPr>
                <w:rFonts w:hint="eastAsia" w:ascii="宋体" w:hAnsi="宋体" w:cs="宋体"/>
                <w:b/>
                <w:bCs/>
                <w:sz w:val="24"/>
              </w:rPr>
              <w:t xml:space="preserve">（三）截止时点（查询环节）：开标后资格审查结束前。</w:t>
            </w:r>
            <w:r/>
          </w:p>
          <w:p>
            <w:pPr>
              <w:spacing w:line="360" w:lineRule="auto"/>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（四）信用信息查询记录和证据留存的具体方式：网页截屏打印，与其他采购文件一并保存。</w:t>
            </w:r>
            <w:r/>
          </w:p>
          <w:p>
            <w:pPr>
              <w:spacing w:line="360" w:lineRule="auto"/>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（五）信用信息的使用规则：</w:t>
            </w:r>
            <w:r/>
          </w:p>
          <w:p>
            <w:pPr>
              <w:ind w:firstLine="560"/>
              <w:spacing w:line="360" w:lineRule="auto"/>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采购人对供应商信用记录进行甄别，对列入失信被执行人、重大税收违法案件当事人名单、政府采购严重违法失信行为记录名单及其他不符合《中华人民共和国政府采购法》第二十二条规定条件的供应商，拒绝其参与政府采购活动。</w:t>
            </w:r>
            <w:r/>
          </w:p>
        </w:tc>
      </w:tr>
      <w:tr>
        <w:trPr>
          <w:jc w:val="center"/>
        </w:trPr>
        <w:tc>
          <w:tcPr>
            <w:tcMar>
              <w:left w:w="108" w:type="dxa"/>
              <w:top w:w="0" w:type="dxa"/>
              <w:right w:w="108" w:type="dxa"/>
              <w:bottom w:w="0" w:type="dxa"/>
            </w:tcMar>
            <w:tcW w:w="1471" w:type="dxa"/>
            <w:textDirection w:val="lrTb"/>
            <w:noWrap w:val="false"/>
          </w:tcPr>
          <w:p>
            <w:pPr>
              <w:jc w:val="center"/>
              <w:spacing w:line="360" w:lineRule="auto"/>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（七）</w:t>
            </w:r>
            <w:r/>
          </w:p>
        </w:tc>
        <w:tc>
          <w:tcPr>
            <w:tcMar>
              <w:left w:w="108" w:type="dxa"/>
              <w:top w:w="0" w:type="dxa"/>
              <w:right w:w="108" w:type="dxa"/>
              <w:bottom w:w="0" w:type="dxa"/>
            </w:tcMar>
            <w:tcW w:w="8313" w:type="dxa"/>
            <w:textDirection w:val="lrTb"/>
            <w:noWrap w:val="false"/>
          </w:tcPr>
          <w:p>
            <w:pPr>
              <w:spacing w:line="360" w:lineRule="auto"/>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招标代理服务费由中标人支付，标准按《招标代理服务收费标准》（见附件）。</w:t>
            </w:r>
            <w:r/>
          </w:p>
        </w:tc>
      </w:tr>
      <w:tr>
        <w:trPr>
          <w:jc w:val="center"/>
        </w:trPr>
        <w:tc>
          <w:tcPr>
            <w:tcMar>
              <w:left w:w="108" w:type="dxa"/>
              <w:top w:w="0" w:type="dxa"/>
              <w:right w:w="108" w:type="dxa"/>
              <w:bottom w:w="0" w:type="dxa"/>
            </w:tcMar>
            <w:tcW w:w="1471" w:type="dxa"/>
            <w:textDirection w:val="lrTb"/>
            <w:noWrap w:val="false"/>
          </w:tcPr>
          <w:p>
            <w:pPr>
              <w:jc w:val="center"/>
              <w:spacing w:line="360" w:lineRule="auto"/>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二</w:t>
            </w:r>
            <w:r/>
          </w:p>
        </w:tc>
        <w:tc>
          <w:tcPr>
            <w:tcMar>
              <w:left w:w="108" w:type="dxa"/>
              <w:top w:w="0" w:type="dxa"/>
              <w:right w:w="108" w:type="dxa"/>
              <w:bottom w:w="0" w:type="dxa"/>
            </w:tcMar>
            <w:tcW w:w="8313" w:type="dxa"/>
            <w:textDirection w:val="lrTb"/>
            <w:noWrap w:val="false"/>
          </w:tcPr>
          <w:p>
            <w:pPr>
              <w:spacing w:line="360" w:lineRule="auto"/>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招标</w:t>
            </w:r>
            <w:r/>
          </w:p>
        </w:tc>
      </w:tr>
      <w:tr>
        <w:trPr>
          <w:jc w:val="center"/>
          <w:trHeight w:val="1628"/>
        </w:trPr>
        <w:tc>
          <w:tcPr>
            <w:tcMar>
              <w:left w:w="108" w:type="dxa"/>
              <w:top w:w="0" w:type="dxa"/>
              <w:right w:w="108" w:type="dxa"/>
              <w:bottom w:w="0" w:type="dxa"/>
            </w:tcMar>
            <w:tcW w:w="1471" w:type="dxa"/>
            <w:textDirection w:val="lrTb"/>
            <w:noWrap w:val="false"/>
          </w:tcPr>
          <w:p>
            <w:pPr>
              <w:jc w:val="center"/>
              <w:spacing w:line="360" w:lineRule="auto"/>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（八）1</w:t>
            </w:r>
            <w:r/>
          </w:p>
        </w:tc>
        <w:tc>
          <w:tcPr>
            <w:tcMar>
              <w:left w:w="108" w:type="dxa"/>
              <w:top w:w="0" w:type="dxa"/>
              <w:right w:w="108" w:type="dxa"/>
              <w:bottom w:w="0" w:type="dxa"/>
            </w:tcMar>
            <w:tcW w:w="8313" w:type="dxa"/>
            <w:textDirection w:val="lrTb"/>
            <w:noWrap w:val="false"/>
          </w:tcPr>
          <w:p>
            <w:pPr>
              <w:spacing w:line="360" w:lineRule="auto"/>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采购代理机构可以对已发出的招标文件进行必要的澄清或修改。对澄清或修改的内容，应以所发布的本项目的“更正公告”的附件的形式通知所有获取招标文件的潜在投标人。当发布本项目的“更正公告”之后，采购代理机构便尽到了通知义务，其各潜在投标人应关注本项目的“更正公告”及附件，否则，将自行承担相应的风险。</w:t>
            </w:r>
            <w:r/>
          </w:p>
        </w:tc>
      </w:tr>
      <w:tr>
        <w:trPr>
          <w:jc w:val="center"/>
        </w:trPr>
        <w:tc>
          <w:tcPr>
            <w:tcMar>
              <w:left w:w="108" w:type="dxa"/>
              <w:top w:w="0" w:type="dxa"/>
              <w:right w:w="108" w:type="dxa"/>
              <w:bottom w:w="0" w:type="dxa"/>
            </w:tcMar>
            <w:tcW w:w="1471" w:type="dxa"/>
            <w:textDirection w:val="lrTb"/>
            <w:noWrap w:val="false"/>
          </w:tcPr>
          <w:p>
            <w:pPr>
              <w:jc w:val="center"/>
              <w:spacing w:line="360" w:lineRule="auto"/>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（九）2</w:t>
            </w:r>
            <w:r/>
          </w:p>
        </w:tc>
        <w:tc>
          <w:tcPr>
            <w:tcMar>
              <w:left w:w="108" w:type="dxa"/>
              <w:top w:w="0" w:type="dxa"/>
              <w:right w:w="108" w:type="dxa"/>
              <w:bottom w:w="0" w:type="dxa"/>
            </w:tcMar>
            <w:tcW w:w="8313" w:type="dxa"/>
            <w:textDirection w:val="lrTb"/>
            <w:noWrap w:val="false"/>
          </w:tcPr>
          <w:p>
            <w:pPr>
              <w:spacing w:line="360" w:lineRule="auto"/>
              <w:tabs>
                <w:tab w:val="left" w:pos="5760" w:leader="none"/>
              </w:tabs>
              <w:rPr>
                <w:rFonts w:ascii="宋体" w:hAnsi="宋体" w:cs="宋体"/>
                <w:sz w:val="24"/>
              </w:rPr>
            </w:pPr>
            <w:r>
              <w:rPr>
                <w:rFonts w:hint="eastAsia" w:ascii="宋体" w:hAnsi="宋体" w:cs="宋体"/>
                <w:b/>
                <w:bCs/>
                <w:sz w:val="24"/>
              </w:rPr>
              <w:t xml:space="preserve">自行现场勘察。</w:t>
            </w:r>
            <w:r/>
          </w:p>
        </w:tc>
      </w:tr>
      <w:tr>
        <w:trPr>
          <w:jc w:val="center"/>
        </w:trPr>
        <w:tc>
          <w:tcPr>
            <w:tcMar>
              <w:left w:w="108" w:type="dxa"/>
              <w:top w:w="0" w:type="dxa"/>
              <w:right w:w="108" w:type="dxa"/>
              <w:bottom w:w="0" w:type="dxa"/>
            </w:tcMar>
            <w:tcW w:w="1471" w:type="dxa"/>
            <w:textDirection w:val="lrTb"/>
            <w:noWrap w:val="false"/>
          </w:tcPr>
          <w:p>
            <w:pPr>
              <w:jc w:val="center"/>
              <w:spacing w:line="360" w:lineRule="auto"/>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（九）3</w:t>
            </w:r>
            <w:r/>
          </w:p>
        </w:tc>
        <w:tc>
          <w:tcPr>
            <w:tcMar>
              <w:left w:w="108" w:type="dxa"/>
              <w:top w:w="0" w:type="dxa"/>
              <w:right w:w="108" w:type="dxa"/>
              <w:bottom w:w="0" w:type="dxa"/>
            </w:tcMar>
            <w:tcW w:w="8313" w:type="dxa"/>
            <w:textDirection w:val="lrTb"/>
            <w:noWrap w:val="false"/>
          </w:tcPr>
          <w:p>
            <w:pPr>
              <w:spacing w:line="360" w:lineRule="auto"/>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不安排开标前答疑会。</w:t>
            </w:r>
            <w:r/>
          </w:p>
        </w:tc>
      </w:tr>
      <w:tr>
        <w:trPr>
          <w:jc w:val="center"/>
        </w:trPr>
        <w:tc>
          <w:tcPr>
            <w:tcMar>
              <w:left w:w="108" w:type="dxa"/>
              <w:top w:w="0" w:type="dxa"/>
              <w:right w:w="108" w:type="dxa"/>
              <w:bottom w:w="0" w:type="dxa"/>
            </w:tcMar>
            <w:tcW w:w="1471" w:type="dxa"/>
            <w:textDirection w:val="lrTb"/>
            <w:noWrap w:val="false"/>
          </w:tcPr>
          <w:p>
            <w:pPr>
              <w:jc w:val="center"/>
              <w:spacing w:line="360" w:lineRule="auto"/>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三</w:t>
            </w:r>
            <w:r/>
          </w:p>
        </w:tc>
        <w:tc>
          <w:tcPr>
            <w:tcMar>
              <w:left w:w="108" w:type="dxa"/>
              <w:top w:w="0" w:type="dxa"/>
              <w:right w:w="108" w:type="dxa"/>
              <w:bottom w:w="0" w:type="dxa"/>
            </w:tcMar>
            <w:tcW w:w="8313" w:type="dxa"/>
            <w:textDirection w:val="lrTb"/>
            <w:noWrap w:val="false"/>
          </w:tcPr>
          <w:p>
            <w:pPr>
              <w:spacing w:line="360" w:lineRule="auto"/>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投标</w:t>
            </w:r>
            <w:r/>
          </w:p>
        </w:tc>
      </w:tr>
      <w:tr>
        <w:trPr>
          <w:jc w:val="center"/>
          <w:trHeight w:val="90"/>
        </w:trPr>
        <w:tc>
          <w:tcPr>
            <w:tcMar>
              <w:left w:w="108" w:type="dxa"/>
              <w:top w:w="0" w:type="dxa"/>
              <w:right w:w="108" w:type="dxa"/>
              <w:bottom w:w="0" w:type="dxa"/>
            </w:tcMar>
            <w:tcW w:w="1471" w:type="dxa"/>
            <w:textDirection w:val="lrTb"/>
            <w:noWrap w:val="false"/>
          </w:tcPr>
          <w:p>
            <w:pPr>
              <w:jc w:val="center"/>
              <w:spacing w:line="360" w:lineRule="auto"/>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（十一）</w:t>
            </w:r>
            <w:r/>
          </w:p>
        </w:tc>
        <w:tc>
          <w:tcPr>
            <w:tcMar>
              <w:left w:w="108" w:type="dxa"/>
              <w:top w:w="0" w:type="dxa"/>
              <w:right w:w="108" w:type="dxa"/>
              <w:bottom w:w="0" w:type="dxa"/>
            </w:tcMar>
            <w:tcW w:w="8313" w:type="dxa"/>
            <w:textDirection w:val="lrTb"/>
            <w:noWrap w:val="false"/>
          </w:tcPr>
          <w:p>
            <w:pPr>
              <w:spacing w:line="360" w:lineRule="auto"/>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投标文件的语言为中文</w:t>
            </w:r>
            <w:r/>
          </w:p>
        </w:tc>
      </w:tr>
      <w:tr>
        <w:trPr>
          <w:jc w:val="center"/>
          <w:trHeight w:val="525"/>
        </w:trPr>
        <w:tc>
          <w:tcPr>
            <w:tcMar>
              <w:left w:w="108" w:type="dxa"/>
              <w:top w:w="0" w:type="dxa"/>
              <w:right w:w="108" w:type="dxa"/>
              <w:bottom w:w="0" w:type="dxa"/>
            </w:tcMar>
            <w:tcW w:w="1471" w:type="dxa"/>
            <w:textDirection w:val="lrTb"/>
            <w:noWrap w:val="false"/>
          </w:tcPr>
          <w:p>
            <w:pPr>
              <w:jc w:val="center"/>
              <w:spacing w:line="360" w:lineRule="auto"/>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（十二）1</w:t>
            </w:r>
            <w:r/>
          </w:p>
          <w:p>
            <w:pPr>
              <w:jc w:val="center"/>
              <w:spacing w:line="360" w:lineRule="auto"/>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（十二）2</w:t>
            </w:r>
            <w:r/>
          </w:p>
        </w:tc>
        <w:tc>
          <w:tcPr>
            <w:tcMar>
              <w:left w:w="108" w:type="dxa"/>
              <w:top w:w="0" w:type="dxa"/>
              <w:right w:w="108" w:type="dxa"/>
              <w:bottom w:w="0" w:type="dxa"/>
            </w:tcMar>
            <w:tcW w:w="8313" w:type="dxa"/>
            <w:textDirection w:val="lrTb"/>
            <w:noWrap w:val="false"/>
          </w:tcPr>
          <w:p>
            <w:pPr>
              <w:spacing w:line="360" w:lineRule="auto"/>
              <w:rPr>
                <w:rFonts w:ascii="宋体" w:hAnsi="宋体" w:cs="宋体"/>
                <w:b/>
                <w:sz w:val="24"/>
              </w:rPr>
              <w:pBdr>
                <w:top w:val="none" w:color="000000" w:sz="0" w:space="0"/>
                <w:left w:val="none" w:color="000000" w:sz="0" w:space="0"/>
                <w:bottom w:val="none" w:color="000000" w:sz="0" w:space="0"/>
                <w:right w:val="none" w:color="000000" w:sz="0" w:space="0"/>
              </w:pBdr>
            </w:pPr>
            <w:r>
              <w:rPr>
                <w:rFonts w:hint="eastAsia" w:ascii="宋体" w:hAnsi="宋体" w:cs="宋体"/>
                <w:b/>
                <w:sz w:val="24"/>
              </w:rPr>
              <w:t xml:space="preserve">线上投标文件编制要求：</w:t>
            </w:r>
            <w:r/>
          </w:p>
          <w:p>
            <w:pPr>
              <w:spacing w:line="360" w:lineRule="auto"/>
              <w:rPr>
                <w:rFonts w:ascii="宋体" w:hAnsi="宋体" w:cs="宋体"/>
                <w:b/>
                <w:sz w:val="24"/>
              </w:rPr>
              <w:pBdr>
                <w:top w:val="none" w:color="000000" w:sz="0" w:space="0"/>
                <w:left w:val="none" w:color="000000" w:sz="0" w:space="0"/>
                <w:bottom w:val="none" w:color="000000" w:sz="0" w:space="0"/>
                <w:right w:val="none" w:color="000000" w:sz="0" w:space="0"/>
              </w:pBdr>
            </w:pPr>
            <w:r>
              <w:rPr>
                <w:rFonts w:hint="eastAsia" w:ascii="宋体" w:hAnsi="宋体" w:cs="宋体"/>
                <w:b/>
                <w:sz w:val="24"/>
              </w:rPr>
              <w:t xml:space="preserve">请按照以下要求（包括但不限于以下要求）制作：</w:t>
            </w:r>
            <w:r/>
          </w:p>
          <w:p>
            <w:pPr>
              <w:spacing w:line="360" w:lineRule="auto"/>
              <w:rPr>
                <w:rFonts w:ascii="宋体" w:hAnsi="宋体" w:cs="宋体"/>
                <w:b/>
                <w:sz w:val="24"/>
              </w:rPr>
              <w:pBdr>
                <w:top w:val="none" w:color="000000" w:sz="0" w:space="0"/>
                <w:left w:val="none" w:color="000000" w:sz="0" w:space="0"/>
                <w:bottom w:val="none" w:color="000000" w:sz="0" w:space="0"/>
                <w:right w:val="none" w:color="000000" w:sz="0" w:space="0"/>
              </w:pBdr>
            </w:pPr>
            <w:r>
              <w:rPr>
                <w:rFonts w:hint="eastAsia" w:ascii="宋体" w:hAnsi="宋体" w:cs="宋体"/>
                <w:b/>
                <w:sz w:val="24"/>
              </w:rPr>
              <w:t xml:space="preserve">一、基本目录</w:t>
            </w:r>
            <w:r/>
          </w:p>
          <w:p>
            <w:pPr>
              <w:spacing w:line="360" w:lineRule="auto"/>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b/>
                <w:sz w:val="24"/>
              </w:rPr>
              <w:t xml:space="preserve">1.《投标函》。要求加盖电子签章，格式见本文件第七章《投标文件相关格式》（必须提供，否则在符合性审查时按照投标无效处理）。</w:t>
            </w:r>
            <w:r/>
          </w:p>
          <w:p>
            <w:pPr>
              <w:spacing w:line="360" w:lineRule="auto"/>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b/>
                <w:bCs/>
                <w:sz w:val="24"/>
              </w:rPr>
              <w:t xml:space="preserve">2.</w:t>
            </w:r>
            <w:r>
              <w:rPr>
                <w:rFonts w:hint="eastAsia" w:ascii="宋体" w:hAnsi="宋体" w:cs="宋体"/>
                <w:b/>
                <w:sz w:val="24"/>
              </w:rPr>
              <w:t xml:space="preserve">《授权委托书及法定代表人身份证明书》。要求加盖电子签章，格式见本文件第七章《投标文件相关格式》（必须提供，否则在符合性审查时按照投标无效处理）。</w:t>
            </w:r>
            <w:r/>
          </w:p>
          <w:p>
            <w:pPr>
              <w:spacing w:line="360" w:lineRule="auto"/>
              <w:rPr>
                <w:rFonts w:ascii="宋体" w:hAnsi="宋体" w:cs="宋体"/>
                <w:b/>
                <w:bCs/>
                <w:sz w:val="24"/>
              </w:rPr>
              <w:pBdr>
                <w:top w:val="none" w:color="000000" w:sz="0" w:space="0"/>
                <w:left w:val="none" w:color="000000" w:sz="0" w:space="0"/>
                <w:bottom w:val="none" w:color="000000" w:sz="0" w:space="0"/>
                <w:right w:val="none" w:color="000000" w:sz="0" w:space="0"/>
              </w:pBdr>
            </w:pPr>
            <w:r>
              <w:rPr>
                <w:rFonts w:hint="eastAsia" w:ascii="宋体" w:hAnsi="宋体" w:cs="宋体"/>
                <w:b/>
                <w:bCs/>
                <w:sz w:val="24"/>
              </w:rPr>
              <w:t xml:space="preserve">3.所投产品的环境标志产品认证证书原件的扫描件（如有）。</w:t>
            </w:r>
            <w:r/>
          </w:p>
          <w:p>
            <w:pPr>
              <w:spacing w:line="360" w:lineRule="auto"/>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注：</w:t>
            </w:r>
            <w:r/>
          </w:p>
          <w:p>
            <w:pPr>
              <w:spacing w:line="360" w:lineRule="auto"/>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（1）所投产品属于《环境标志产品政府采购品目清单》（由财政部 生态环境部印发）范围的，投标文件中提供（如有）所投产品的国家确定的认证机构出具的、处于有效期之内（即“开标时间”当天在有效期之内）的环境标志产品认证证书原件的扫描件。</w:t>
            </w:r>
            <w:r/>
          </w:p>
          <w:p>
            <w:pPr>
              <w:spacing w:line="360" w:lineRule="auto"/>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（2）环境标志产品认证证书是否符合要求，采购人评标时查询中国政府采购网（www.ccgp.gov.cn）相关内容后确定。</w:t>
            </w:r>
            <w:r/>
          </w:p>
          <w:p>
            <w:pPr>
              <w:spacing w:line="360" w:lineRule="auto"/>
              <w:rPr>
                <w:rFonts w:ascii="宋体" w:hAnsi="宋体" w:cs="宋体"/>
                <w:b/>
                <w:bCs/>
                <w:sz w:val="24"/>
              </w:rPr>
              <w:pBdr>
                <w:top w:val="none" w:color="000000" w:sz="0" w:space="0"/>
                <w:left w:val="none" w:color="000000" w:sz="0" w:space="0"/>
                <w:bottom w:val="none" w:color="000000" w:sz="0" w:space="0"/>
                <w:right w:val="none" w:color="000000" w:sz="0" w:space="0"/>
              </w:pBdr>
            </w:pPr>
            <w:r>
              <w:rPr>
                <w:rFonts w:hint="eastAsia" w:ascii="宋体" w:hAnsi="宋体" w:cs="宋体"/>
                <w:b/>
                <w:bCs/>
                <w:sz w:val="24"/>
              </w:rPr>
              <w:t xml:space="preserve">4.所投产品的节能产品认证证书原件的扫描件（如有）。</w:t>
            </w:r>
            <w:r/>
          </w:p>
          <w:p>
            <w:pPr>
              <w:spacing w:line="360" w:lineRule="auto"/>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注：</w:t>
            </w:r>
            <w:r/>
          </w:p>
          <w:p>
            <w:pPr>
              <w:spacing w:line="360" w:lineRule="auto"/>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（1）所投产品属于《节能产品政府采购品目清单》（由财政部 发展改革委印发）范围的，投标文件中提供（如有）所投产品的国家确定的认证机构出具的、处于有效期之内（即“开标时间”当天在有效期之内）的节能产品认证证书原件的扫描件。</w:t>
            </w:r>
            <w:r/>
          </w:p>
          <w:p>
            <w:pPr>
              <w:spacing w:line="360" w:lineRule="auto"/>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（2）节能产品认证证书是否符合要求，采购人评标时查询中国政府采购网（www.ccgp.gov.cn）相关内容后确定。</w:t>
            </w:r>
            <w:r/>
          </w:p>
          <w:p>
            <w:pPr>
              <w:spacing w:line="360" w:lineRule="auto"/>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b/>
                <w:sz w:val="24"/>
              </w:rPr>
              <w:t xml:space="preserve">二、资格条件（必须提供，否则投标将被拒绝）</w:t>
            </w:r>
            <w:r/>
          </w:p>
          <w:p>
            <w:pPr>
              <w:spacing w:line="360" w:lineRule="auto"/>
              <w:rPr>
                <w:sz w:val="24"/>
                <w:szCs w:val="32"/>
              </w:rPr>
            </w:pPr>
            <w:r>
              <w:rPr>
                <w:sz w:val="24"/>
                <w:szCs w:val="32"/>
              </w:rPr>
              <w:t xml:space="preserve">1</w:t>
            </w:r>
            <w:r>
              <w:rPr>
                <w:rFonts w:hint="eastAsia"/>
                <w:sz w:val="24"/>
                <w:szCs w:val="32"/>
              </w:rPr>
              <w:t xml:space="preserve">.具有独立承担民事责任的能力：即提供合法有效的法人营业执照；</w:t>
            </w:r>
            <w:r/>
          </w:p>
          <w:p>
            <w:pPr>
              <w:spacing w:line="360" w:lineRule="auto"/>
              <w:rPr>
                <w:sz w:val="24"/>
                <w:szCs w:val="32"/>
              </w:rPr>
            </w:pPr>
            <w:r>
              <w:rPr>
                <w:sz w:val="24"/>
                <w:szCs w:val="32"/>
              </w:rPr>
              <w:t xml:space="preserve">2</w:t>
            </w:r>
            <w:r>
              <w:rPr>
                <w:rFonts w:hint="eastAsia"/>
                <w:sz w:val="24"/>
                <w:szCs w:val="32"/>
              </w:rPr>
              <w:t xml:space="preserve">.具有良好的商业信誉和健全的财务会计制度：</w:t>
            </w:r>
            <w:r>
              <w:rPr>
                <w:sz w:val="24"/>
                <w:szCs w:val="32"/>
              </w:rPr>
              <w:t xml:space="preserve">即提供投标人的本项目开标时间前6个月内任何时间的资产负债表和利润表扫描件各一份；或提供合法有效的经第三方机构审计的2023</w:t>
            </w:r>
            <w:r>
              <w:rPr>
                <w:rFonts w:hint="eastAsia"/>
                <w:sz w:val="24"/>
                <w:szCs w:val="32"/>
              </w:rPr>
              <w:t xml:space="preserve">或2024</w:t>
            </w:r>
            <w:r>
              <w:rPr>
                <w:sz w:val="24"/>
                <w:szCs w:val="32"/>
              </w:rPr>
              <w:t xml:space="preserve">年度财务审计报告扫描件（应包括审计报告正文、资产负债表、现金流量表、利润表）；</w:t>
            </w:r>
            <w:r/>
          </w:p>
          <w:p>
            <w:pPr>
              <w:spacing w:line="360" w:lineRule="auto"/>
              <w:rPr>
                <w:sz w:val="24"/>
                <w:szCs w:val="32"/>
              </w:rPr>
            </w:pPr>
            <w:r>
              <w:rPr>
                <w:sz w:val="24"/>
                <w:szCs w:val="32"/>
              </w:rPr>
              <w:t xml:space="preserve">3</w:t>
            </w:r>
            <w:r>
              <w:rPr>
                <w:rFonts w:hint="eastAsia"/>
                <w:sz w:val="24"/>
                <w:szCs w:val="32"/>
              </w:rPr>
              <w:t xml:space="preserve">.有依法缴纳税收和社会保障资金的良好记录：即提供</w:t>
            </w:r>
            <w:r>
              <w:rPr>
                <w:sz w:val="24"/>
                <w:szCs w:val="32"/>
              </w:rPr>
              <w:t xml:space="preserve">投标人的本项目开标时间前6个月内任何1个月的依法缴纳税收扫描件和社会保障资金扫描件的相关材料（依法免税或不需要缴纳社会保障资金的供应商</w:t>
            </w:r>
            <w:r>
              <w:rPr>
                <w:rFonts w:hint="eastAsia"/>
                <w:sz w:val="24"/>
                <w:szCs w:val="32"/>
              </w:rPr>
              <w:t xml:space="preserve">，</w:t>
            </w:r>
            <w:r>
              <w:rPr>
                <w:sz w:val="24"/>
                <w:szCs w:val="32"/>
              </w:rPr>
              <w:t xml:space="preserve">提供相应文件扫描件证明其依法免税或不需要缴纳社会保障资金</w:t>
            </w:r>
            <w:r>
              <w:rPr>
                <w:rFonts w:hint="eastAsia"/>
                <w:sz w:val="24"/>
                <w:szCs w:val="32"/>
              </w:rPr>
              <w:t xml:space="preserve">）</w:t>
            </w:r>
            <w:r>
              <w:rPr>
                <w:sz w:val="24"/>
                <w:szCs w:val="32"/>
              </w:rPr>
              <w:t xml:space="preserve">；</w:t>
            </w:r>
            <w:r/>
          </w:p>
          <w:p>
            <w:pPr>
              <w:ind w:right="28"/>
              <w:spacing w:line="360" w:lineRule="auto"/>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4.具有履行合同所必需的设备和专业技术能力：</w:t>
            </w:r>
            <w:r>
              <w:rPr>
                <w:rFonts w:hint="eastAsia"/>
                <w:sz w:val="24"/>
                <w:szCs w:val="32"/>
              </w:rPr>
              <w:t xml:space="preserve">即提供</w:t>
            </w:r>
            <w:r>
              <w:rPr>
                <w:sz w:val="24"/>
                <w:szCs w:val="32"/>
              </w:rPr>
              <w:t xml:space="preserve">具备履行合同所必需的设备和专业技术能力的书面声明</w:t>
            </w:r>
            <w:r>
              <w:rPr>
                <w:rFonts w:hint="eastAsia"/>
                <w:sz w:val="24"/>
                <w:szCs w:val="32"/>
              </w:rPr>
              <w:t xml:space="preserve">；</w:t>
            </w:r>
            <w:r/>
          </w:p>
          <w:p>
            <w:pPr>
              <w:spacing w:line="360" w:lineRule="auto"/>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5.参加政府采购活动前三年内，在经营活动中没有重大违法记录：</w:t>
            </w:r>
            <w:r>
              <w:rPr>
                <w:rFonts w:ascii="宋体" w:hAnsi="宋体" w:cs="宋体"/>
                <w:sz w:val="24"/>
              </w:rPr>
              <w:t xml:space="preserve">即提供</w:t>
            </w:r>
            <w:r>
              <w:rPr>
                <w:rFonts w:hint="eastAsia" w:ascii="宋体" w:hAnsi="宋体" w:cs="宋体"/>
                <w:sz w:val="24"/>
              </w:rPr>
              <w:t xml:space="preserve">投标人参加政府采购活动前3年内在经营活动中没有重大违法记录的书面声明；</w:t>
            </w:r>
            <w:r/>
          </w:p>
          <w:p>
            <w:pPr>
              <w:spacing w:line="360" w:lineRule="auto"/>
              <w:rPr>
                <w:rFonts w:ascii="宋体" w:hAnsi="宋体" w:cs="宋体"/>
                <w:bCs/>
                <w:sz w:val="24"/>
              </w:rPr>
              <w:pBdr>
                <w:top w:val="none" w:color="000000" w:sz="0" w:space="0"/>
                <w:left w:val="none" w:color="000000" w:sz="0" w:space="0"/>
                <w:bottom w:val="none" w:color="000000" w:sz="0" w:space="0"/>
                <w:right w:val="none" w:color="000000" w:sz="0" w:space="0"/>
              </w:pBdr>
            </w:pPr>
            <w:r>
              <w:rPr>
                <w:rFonts w:hint="eastAsia" w:ascii="宋体" w:hAnsi="宋体" w:cs="宋体"/>
                <w:b/>
                <w:bCs/>
                <w:sz w:val="24"/>
              </w:rPr>
              <w:t xml:space="preserve">6.特定资格要求：无</w:t>
            </w:r>
            <w:r/>
          </w:p>
          <w:p>
            <w:pPr>
              <w:spacing w:line="360" w:lineRule="auto"/>
              <w:rPr>
                <w:sz w:val="24"/>
                <w:szCs w:val="32"/>
                <w:highlight w:val="none"/>
              </w:rPr>
            </w:pPr>
            <w:r>
              <w:rPr>
                <w:rFonts w:hint="eastAsia" w:ascii="宋体" w:hAnsi="宋体" w:cs="宋体"/>
                <w:bCs/>
                <w:sz w:val="24"/>
              </w:rPr>
              <w:t xml:space="preserve">7.</w:t>
            </w:r>
            <w:r>
              <w:rPr>
                <w:rFonts w:hint="eastAsia"/>
                <w:sz w:val="24"/>
                <w:szCs w:val="32"/>
                <w:highlight w:val="none"/>
              </w:rPr>
              <w:t xml:space="preserve">本项目属于专门面向中小企业采购的项目，投标人提供的货物全部由符合政策要求的中小企业制造，提供《中小企业声明函》（</w:t>
            </w:r>
            <w:r>
              <w:rPr>
                <w:rFonts w:hint="eastAsia"/>
                <w:sz w:val="24"/>
                <w:szCs w:val="32"/>
                <w:highlight w:val="none"/>
                <w:lang w:val="en-US" w:eastAsia="zh-CN"/>
              </w:rPr>
              <w:t xml:space="preserve">填写完整，</w:t>
            </w:r>
            <w:r>
              <w:rPr>
                <w:rFonts w:hint="eastAsia"/>
                <w:sz w:val="24"/>
                <w:szCs w:val="32"/>
                <w:highlight w:val="none"/>
              </w:rPr>
              <w:t xml:space="preserve">加盖电子签章，格式见招标文件第七章《投标文件相关格式》）</w:t>
            </w:r>
            <w:r/>
          </w:p>
          <w:p>
            <w:pPr>
              <w:spacing w:line="360" w:lineRule="auto"/>
              <w:rPr>
                <w:sz w:val="24"/>
                <w:szCs w:val="32"/>
              </w:rPr>
            </w:pPr>
            <w:r>
              <w:rPr>
                <w:rFonts w:hint="eastAsia"/>
                <w:sz w:val="24"/>
                <w:szCs w:val="32"/>
                <w:highlight w:val="none"/>
              </w:rPr>
              <w:t xml:space="preserve">如不填写完整或未按要求填写的，视为无效）。</w:t>
            </w:r>
            <w:r>
              <w:rPr>
                <w:rFonts w:hint="eastAsia"/>
                <w:sz w:val="24"/>
                <w:szCs w:val="32"/>
                <w:highlight w:val="none"/>
                <w:lang w:eastAsia="zh-CN"/>
              </w:rPr>
              <w:t xml:space="preserve">《</w:t>
            </w:r>
            <w:r>
              <w:rPr>
                <w:rFonts w:hint="eastAsia"/>
                <w:sz w:val="24"/>
                <w:szCs w:val="32"/>
                <w:highlight w:val="none"/>
                <w:lang w:val="en-US" w:eastAsia="zh-CN"/>
              </w:rPr>
              <w:t xml:space="preserve">中小企业声明函》查询渠道参考工业和信息化部发布的中小企业规模自测小程序。中小企业规模自测小程序详见《中小企业声明函》。</w:t>
            </w:r>
            <w:r/>
          </w:p>
          <w:p>
            <w:pPr>
              <w:jc w:val="left"/>
              <w:spacing w:line="360" w:lineRule="auto"/>
              <w:rPr>
                <w:rFonts w:ascii="宋体" w:hAnsi="宋体" w:cs="宋体"/>
                <w:bCs/>
                <w:sz w:val="24"/>
              </w:rPr>
            </w:pPr>
            <w:r>
              <w:rPr>
                <w:rFonts w:hint="eastAsia" w:ascii="宋体" w:hAnsi="宋体" w:cs="宋体"/>
                <w:bCs/>
                <w:sz w:val="24"/>
              </w:rPr>
              <w:t xml:space="preserve">注：中小企业（含中型、小型、微型企业，下同），应当同时符合以下条件：</w:t>
            </w:r>
            <w:r/>
          </w:p>
          <w:p>
            <w:pPr>
              <w:jc w:val="left"/>
              <w:spacing w:line="360" w:lineRule="auto"/>
              <w:rPr>
                <w:rFonts w:ascii="宋体" w:hAnsi="宋体" w:cs="宋体"/>
                <w:bCs/>
                <w:sz w:val="24"/>
              </w:rPr>
            </w:pPr>
            <w:r>
              <w:rPr>
                <w:rFonts w:hint="eastAsia" w:ascii="宋体" w:hAnsi="宋体" w:cs="宋体"/>
                <w:bCs/>
                <w:sz w:val="24"/>
              </w:rPr>
              <w:t xml:space="preserve">　 ① 符合中小企业划分标准；</w:t>
            </w:r>
            <w:r/>
          </w:p>
          <w:p>
            <w:pPr>
              <w:jc w:val="left"/>
              <w:spacing w:line="360" w:lineRule="auto"/>
              <w:rPr>
                <w:rFonts w:ascii="宋体" w:hAnsi="宋体" w:cs="宋体"/>
                <w:bCs/>
                <w:sz w:val="24"/>
              </w:rPr>
            </w:pPr>
            <w:r>
              <w:rPr>
                <w:rFonts w:hint="eastAsia" w:ascii="宋体" w:hAnsi="宋体" w:cs="宋体"/>
                <w:bCs/>
                <w:sz w:val="24"/>
              </w:rPr>
              <w:t xml:space="preserve">   ② 提供本企业制造的货物、承担的工程或者服务，或者提供其他中小企业制造的货物。本项所称货物不包括使用大型企业注册商标的货物。</w:t>
            </w:r>
            <w:r/>
          </w:p>
          <w:p>
            <w:pPr>
              <w:ind w:firstLine="480"/>
              <w:jc w:val="left"/>
              <w:spacing w:line="360" w:lineRule="auto"/>
              <w:rPr>
                <w:rFonts w:ascii="宋体" w:hAnsi="宋体" w:cs="宋体"/>
                <w:bCs/>
                <w:sz w:val="24"/>
              </w:rPr>
            </w:pPr>
            <w:r>
              <w:rPr>
                <w:rFonts w:hint="eastAsia" w:ascii="宋体" w:hAnsi="宋体" w:cs="宋体"/>
                <w:bCs/>
                <w:sz w:val="24"/>
              </w:rPr>
              <w:t xml:space="preserve">小型、微型企业提供中型企业制造的货物的，视同为中型企业。</w:t>
            </w:r>
            <w:r/>
          </w:p>
          <w:p>
            <w:pPr>
              <w:ind w:firstLine="480"/>
              <w:jc w:val="left"/>
              <w:spacing w:line="360" w:lineRule="auto"/>
              <w:rPr>
                <w:rFonts w:ascii="宋体" w:hAnsi="宋体" w:cs="宋体"/>
                <w:bCs/>
                <w:sz w:val="24"/>
              </w:rPr>
            </w:pPr>
            <w:r>
              <w:rPr>
                <w:rFonts w:hint="eastAsia" w:ascii="宋体" w:hAnsi="宋体" w:cs="宋体"/>
                <w:bCs/>
                <w:sz w:val="24"/>
              </w:rPr>
              <w:t xml:space="preserve">具体以《政府采购促进中小企业发展管理办法》（财库〔2020〕46号）和《工业和信息化部、国家统计局、国家发展和改革委员会、财政部关于印发中小企业划型标准规定的通知》（工信部联企业〔2011〕300号）的规定为准。</w:t>
            </w:r>
            <w:r/>
          </w:p>
          <w:p>
            <w:pPr>
              <w:ind w:firstLine="480"/>
              <w:jc w:val="left"/>
              <w:spacing w:line="360" w:lineRule="auto"/>
              <w:rPr>
                <w:rFonts w:ascii="宋体" w:hAnsi="宋体" w:cs="宋体"/>
                <w:bCs/>
                <w:sz w:val="24"/>
              </w:rPr>
            </w:pPr>
            <w:r>
              <w:rPr>
                <w:rFonts w:hint="eastAsia" w:ascii="宋体" w:hAnsi="宋体" w:cs="宋体"/>
                <w:bCs/>
                <w:sz w:val="24"/>
              </w:rPr>
              <w:t xml:space="preserve">投标人为监狱企业的，提供省级以上监狱管理局、戒毒管理局（含新疆生产建设兵团）出具的属于监狱企业的证明文件原件扫描件。具体以《财政部 司法部关于政府采购支持监狱企业发展有关问题的通知》（财库〔</w:t>
            </w:r>
            <w:r>
              <w:rPr>
                <w:rFonts w:hint="eastAsia" w:cs="宋体"/>
                <w:bCs/>
                <w:sz w:val="24"/>
              </w:rPr>
              <w:t xml:space="preserve">2014</w:t>
            </w:r>
            <w:r>
              <w:rPr>
                <w:rFonts w:hint="eastAsia" w:ascii="宋体" w:hAnsi="宋体" w:cs="宋体"/>
                <w:bCs/>
                <w:sz w:val="24"/>
              </w:rPr>
              <w:t xml:space="preserve">〕</w:t>
            </w:r>
            <w:r>
              <w:rPr>
                <w:rFonts w:hint="eastAsia" w:cs="宋体"/>
                <w:bCs/>
                <w:sz w:val="24"/>
              </w:rPr>
              <w:t xml:space="preserve">68</w:t>
            </w:r>
            <w:r>
              <w:rPr>
                <w:rFonts w:hint="eastAsia" w:ascii="宋体" w:hAnsi="宋体" w:cs="宋体"/>
                <w:bCs/>
                <w:sz w:val="24"/>
              </w:rPr>
              <w:t xml:space="preserve">号）的规定为准。</w:t>
            </w:r>
            <w:r/>
          </w:p>
          <w:p>
            <w:pPr>
              <w:ind w:firstLine="480"/>
              <w:spacing w:line="360" w:lineRule="auto"/>
              <w:rPr>
                <w:rFonts w:ascii="宋体" w:hAnsi="宋体" w:cs="宋体"/>
                <w:bCs/>
                <w:sz w:val="24"/>
              </w:rPr>
            </w:pPr>
            <w:r>
              <w:rPr>
                <w:rFonts w:hint="eastAsia" w:ascii="宋体" w:hAnsi="宋体" w:cs="宋体"/>
                <w:bCs/>
                <w:sz w:val="24"/>
              </w:rPr>
              <w:t xml:space="preserve">投标人为享受政府采购支持政策的残疾人福利性单位的，提供《残疾人福利性单位声明函》（加盖电子签章，格式见招标文件第七章《投标文件相关格式》）。</w:t>
            </w:r>
            <w:r/>
          </w:p>
          <w:p>
            <w:pPr>
              <w:ind w:firstLine="480"/>
              <w:spacing w:line="360" w:lineRule="auto"/>
              <w:rPr>
                <w:rFonts w:ascii="宋体" w:hAnsi="宋体" w:cs="宋体"/>
                <w:bCs/>
                <w:sz w:val="24"/>
              </w:rPr>
            </w:pPr>
            <w:r>
              <w:rPr>
                <w:rFonts w:hint="eastAsia" w:ascii="宋体" w:hAnsi="宋体" w:cs="宋体"/>
                <w:bCs/>
                <w:sz w:val="24"/>
              </w:rPr>
              <w:t xml:space="preserve">享受政府采购支持政策的残疾人福利性单位应当同时满足以下条件：</w:t>
            </w:r>
            <w:r/>
          </w:p>
          <w:p>
            <w:pPr>
              <w:spacing w:line="360" w:lineRule="auto"/>
              <w:rPr>
                <w:rFonts w:ascii="宋体" w:hAnsi="宋体" w:cs="宋体"/>
                <w:bCs/>
                <w:sz w:val="24"/>
              </w:rPr>
            </w:pPr>
            <w:r>
              <w:rPr>
                <w:rFonts w:hint="eastAsia" w:ascii="宋体" w:hAnsi="宋体" w:cs="宋体"/>
                <w:bCs/>
                <w:sz w:val="24"/>
              </w:rPr>
              <w:t xml:space="preserve">　　（一）安置的残疾人占本单位在职职工人数的比例不低于</w:t>
            </w:r>
            <w:r>
              <w:rPr>
                <w:rFonts w:hint="eastAsia" w:cs="宋体"/>
                <w:bCs/>
                <w:sz w:val="24"/>
              </w:rPr>
              <w:t xml:space="preserve">25</w:t>
            </w:r>
            <w:r>
              <w:rPr>
                <w:rFonts w:hint="eastAsia" w:ascii="宋体" w:hAnsi="宋体" w:cs="宋体"/>
                <w:bCs/>
                <w:sz w:val="24"/>
              </w:rPr>
              <w:t xml:space="preserve">%（含</w:t>
            </w:r>
            <w:r>
              <w:rPr>
                <w:rFonts w:hint="eastAsia" w:cs="宋体"/>
                <w:bCs/>
                <w:sz w:val="24"/>
              </w:rPr>
              <w:t xml:space="preserve">25</w:t>
            </w:r>
            <w:r>
              <w:rPr>
                <w:rFonts w:hint="eastAsia" w:ascii="宋体" w:hAnsi="宋体" w:cs="宋体"/>
                <w:bCs/>
                <w:sz w:val="24"/>
              </w:rPr>
              <w:t xml:space="preserve">%），并且安置的残疾人人数不少于</w:t>
            </w:r>
            <w:r>
              <w:rPr>
                <w:rFonts w:hint="eastAsia" w:cs="宋体"/>
                <w:bCs/>
                <w:sz w:val="24"/>
              </w:rPr>
              <w:t xml:space="preserve">10</w:t>
            </w:r>
            <w:r>
              <w:rPr>
                <w:rFonts w:hint="eastAsia" w:ascii="宋体" w:hAnsi="宋体" w:cs="宋体"/>
                <w:bCs/>
                <w:sz w:val="24"/>
              </w:rPr>
              <w:t xml:space="preserve">人（含</w:t>
            </w:r>
            <w:r>
              <w:rPr>
                <w:rFonts w:hint="eastAsia" w:cs="宋体"/>
                <w:bCs/>
                <w:sz w:val="24"/>
              </w:rPr>
              <w:t xml:space="preserve">10</w:t>
            </w:r>
            <w:r>
              <w:rPr>
                <w:rFonts w:hint="eastAsia" w:ascii="宋体" w:hAnsi="宋体" w:cs="宋体"/>
                <w:bCs/>
                <w:sz w:val="24"/>
              </w:rPr>
              <w:t xml:space="preserve">人）；</w:t>
            </w:r>
            <w:r/>
          </w:p>
          <w:p>
            <w:pPr>
              <w:spacing w:line="360" w:lineRule="auto"/>
              <w:rPr>
                <w:rFonts w:ascii="宋体" w:hAnsi="宋体" w:cs="宋体"/>
                <w:bCs/>
                <w:sz w:val="24"/>
              </w:rPr>
            </w:pPr>
            <w:r>
              <w:rPr>
                <w:rFonts w:hint="eastAsia" w:ascii="宋体" w:hAnsi="宋体" w:cs="宋体"/>
                <w:bCs/>
                <w:sz w:val="24"/>
              </w:rPr>
              <w:t xml:space="preserve">　　（二）依法与安置的每位残疾人签订了一年以上（含一年）的劳动合同或服务协议；</w:t>
            </w:r>
            <w:r/>
          </w:p>
          <w:p>
            <w:pPr>
              <w:spacing w:line="360" w:lineRule="auto"/>
              <w:rPr>
                <w:rFonts w:ascii="宋体" w:hAnsi="宋体" w:cs="宋体"/>
                <w:bCs/>
                <w:sz w:val="24"/>
              </w:rPr>
            </w:pPr>
            <w:r>
              <w:rPr>
                <w:rFonts w:hint="eastAsia" w:ascii="宋体" w:hAnsi="宋体" w:cs="宋体"/>
                <w:bCs/>
                <w:sz w:val="24"/>
              </w:rPr>
              <w:t xml:space="preserve">　　（三）为安置的每位残疾人按月足额缴纳了基本养老保险、基本医疗保险、失业保险、工伤保险和生育保险等社会保险费；</w:t>
            </w:r>
            <w:r/>
          </w:p>
          <w:p>
            <w:pPr>
              <w:spacing w:line="360" w:lineRule="auto"/>
              <w:rPr>
                <w:rFonts w:ascii="宋体" w:hAnsi="宋体" w:cs="宋体"/>
                <w:bCs/>
                <w:sz w:val="24"/>
              </w:rPr>
            </w:pPr>
            <w:r>
              <w:rPr>
                <w:rFonts w:hint="eastAsia" w:ascii="宋体" w:hAnsi="宋体" w:cs="宋体"/>
                <w:bCs/>
                <w:sz w:val="24"/>
              </w:rPr>
              <w:t xml:space="preserve">　　（四）通过银行等金融机构向安置的每位残疾人，按月支付了不低于单位所在区县适用的经省级人民政府批准的月最低工资标准的工资；</w:t>
            </w:r>
            <w:r/>
          </w:p>
          <w:p>
            <w:pPr>
              <w:spacing w:line="360" w:lineRule="auto"/>
              <w:rPr>
                <w:rFonts w:ascii="宋体" w:hAnsi="宋体" w:cs="宋体"/>
                <w:bCs/>
                <w:sz w:val="24"/>
              </w:rPr>
            </w:pPr>
            <w:r>
              <w:rPr>
                <w:rFonts w:hint="eastAsia" w:ascii="宋体" w:hAnsi="宋体" w:cs="宋体"/>
                <w:bCs/>
                <w:sz w:val="24"/>
              </w:rPr>
              <w:t xml:space="preserve">　　（五）提供本单位制造的货物、承担的工程或者服务（以下简称产品），或者提供其他残疾人福利性单位制造的货物（不包括使用非残疾人福利性单位注册商标的货物）。</w:t>
            </w:r>
            <w:r/>
          </w:p>
          <w:p>
            <w:pPr>
              <w:spacing w:line="360" w:lineRule="auto"/>
              <w:rPr>
                <w:rFonts w:ascii="宋体" w:hAnsi="宋体" w:cs="宋体"/>
                <w:bCs/>
                <w:sz w:val="24"/>
              </w:rPr>
            </w:pPr>
            <w:r>
              <w:rPr>
                <w:rFonts w:hint="eastAsia" w:ascii="宋体" w:hAnsi="宋体" w:cs="宋体"/>
                <w:bCs/>
                <w:sz w:val="24"/>
              </w:rPr>
              <w:t xml:space="preserve">　　前款所称残疾人是指法定劳动年龄内，持有《中华人民共和国残疾人证》或者《中华人民共和国残疾军人证（</w:t>
            </w:r>
            <w:r>
              <w:rPr>
                <w:rFonts w:hint="eastAsia" w:cs="宋体"/>
                <w:bCs/>
                <w:sz w:val="24"/>
              </w:rPr>
              <w:t xml:space="preserve">1</w:t>
            </w:r>
            <w:r>
              <w:rPr>
                <w:rFonts w:hint="eastAsia" w:ascii="宋体" w:hAnsi="宋体" w:cs="宋体"/>
                <w:bCs/>
                <w:sz w:val="24"/>
              </w:rPr>
              <w:t xml:space="preserve">至</w:t>
            </w:r>
            <w:r>
              <w:rPr>
                <w:rFonts w:hint="eastAsia" w:cs="宋体"/>
                <w:bCs/>
                <w:sz w:val="24"/>
              </w:rPr>
              <w:t xml:space="preserve">8</w:t>
            </w:r>
            <w:r>
              <w:rPr>
                <w:rFonts w:hint="eastAsia" w:ascii="宋体" w:hAnsi="宋体" w:cs="宋体"/>
                <w:bCs/>
                <w:sz w:val="24"/>
              </w:rPr>
              <w:t xml:space="preserve">级）》的自然人，包括具有劳动条件和劳动意愿的精神残疾人。在职职工人数是指与残疾人福利性单位建立劳动关系并依法签订劳动合同或者服务协议的雇员人数。</w:t>
            </w:r>
            <w:r/>
          </w:p>
          <w:p>
            <w:pPr>
              <w:spacing w:line="360" w:lineRule="auto"/>
            </w:pPr>
            <w:r>
              <w:rPr>
                <w:rFonts w:hint="eastAsia" w:ascii="宋体" w:hAnsi="宋体" w:cs="宋体"/>
                <w:bCs/>
                <w:sz w:val="24"/>
              </w:rPr>
              <w:t xml:space="preserve">   具体以《三部门联合发布关于促进残疾人就业政府采购政策的通知》（财库〔</w:t>
            </w:r>
            <w:r>
              <w:rPr>
                <w:rFonts w:hint="eastAsia" w:cs="宋体"/>
                <w:bCs/>
                <w:sz w:val="24"/>
              </w:rPr>
              <w:t xml:space="preserve">2017</w:t>
            </w:r>
            <w:r>
              <w:rPr>
                <w:rFonts w:hint="eastAsia" w:ascii="宋体" w:hAnsi="宋体" w:cs="宋体"/>
                <w:bCs/>
                <w:sz w:val="24"/>
              </w:rPr>
              <w:t xml:space="preserve">〕</w:t>
            </w:r>
            <w:r>
              <w:rPr>
                <w:rFonts w:hint="eastAsia" w:cs="宋体"/>
                <w:bCs/>
                <w:sz w:val="24"/>
              </w:rPr>
              <w:t xml:space="preserve">141</w:t>
            </w:r>
            <w:r>
              <w:rPr>
                <w:rFonts w:hint="eastAsia" w:ascii="宋体" w:hAnsi="宋体" w:cs="宋体"/>
                <w:bCs/>
                <w:sz w:val="24"/>
              </w:rPr>
              <w:t xml:space="preserve">号）规定为准。</w:t>
            </w:r>
            <w:r/>
          </w:p>
          <w:p>
            <w:pPr>
              <w:spacing w:line="360" w:lineRule="auto"/>
              <w:rPr>
                <w:rFonts w:ascii="宋体" w:hAnsi="宋体" w:cs="宋体"/>
                <w:b/>
                <w:sz w:val="24"/>
              </w:rPr>
            </w:pPr>
            <w:r>
              <w:rPr>
                <w:rFonts w:hint="eastAsia" w:ascii="宋体" w:hAnsi="宋体" w:cs="宋体"/>
                <w:b/>
                <w:sz w:val="24"/>
              </w:rPr>
              <w:t xml:space="preserve">三、符合条件（必须提供，否则在符合性审查时按照投标无效处理）</w:t>
            </w:r>
            <w:r/>
          </w:p>
          <w:p>
            <w:pPr>
              <w:spacing w:line="360" w:lineRule="auto"/>
              <w:rPr>
                <w:rFonts w:ascii="宋体" w:hAnsi="宋体" w:cs="宋体"/>
                <w:b/>
                <w:bCs/>
                <w:sz w:val="24"/>
              </w:rPr>
              <w:pBdr>
                <w:top w:val="none" w:color="000000" w:sz="0" w:space="0"/>
                <w:left w:val="none" w:color="000000" w:sz="0" w:space="0"/>
                <w:bottom w:val="none" w:color="000000" w:sz="0" w:space="0"/>
                <w:right w:val="none" w:color="000000" w:sz="0" w:space="0"/>
              </w:pBdr>
            </w:pPr>
            <w:r>
              <w:rPr>
                <w:rFonts w:hint="eastAsia" w:ascii="宋体" w:hAnsi="宋体" w:cs="宋体"/>
                <w:b/>
                <w:bCs/>
                <w:sz w:val="24"/>
              </w:rPr>
              <w:t xml:space="preserve">（一）报价</w:t>
            </w:r>
            <w:r/>
          </w:p>
          <w:p>
            <w:pPr>
              <w:spacing w:line="360" w:lineRule="auto"/>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b/>
                <w:sz w:val="24"/>
              </w:rPr>
              <w:t xml:space="preserve">1.《分项价格表》。加盖电子签章，格式见本文件第七章《投标文件相关格式》。</w:t>
            </w:r>
            <w:r/>
          </w:p>
          <w:p>
            <w:pPr>
              <w:spacing w:line="360" w:lineRule="auto"/>
              <w:rPr>
                <w:rFonts w:ascii="宋体" w:hAnsi="宋体" w:cs="宋体"/>
                <w:b/>
                <w:bCs/>
                <w:sz w:val="24"/>
              </w:rPr>
              <w:pBdr>
                <w:top w:val="none" w:color="000000" w:sz="0" w:space="0"/>
                <w:left w:val="none" w:color="000000" w:sz="0" w:space="0"/>
                <w:bottom w:val="none" w:color="000000" w:sz="0" w:space="0"/>
                <w:right w:val="none" w:color="000000" w:sz="0" w:space="0"/>
              </w:pBdr>
            </w:pPr>
            <w:r>
              <w:rPr>
                <w:rFonts w:hint="eastAsia" w:ascii="宋体" w:hAnsi="宋体" w:cs="宋体"/>
                <w:b/>
                <w:bCs/>
                <w:sz w:val="24"/>
              </w:rPr>
              <w:t xml:space="preserve">（二）商务资信</w:t>
            </w:r>
            <w:r/>
          </w:p>
          <w:p>
            <w:pPr>
              <w:spacing w:line="360" w:lineRule="auto"/>
              <w:rPr>
                <w:rFonts w:ascii="宋体" w:hAnsi="宋体" w:cs="宋体"/>
                <w:b/>
                <w:bCs/>
                <w:sz w:val="24"/>
              </w:rPr>
              <w:pBdr>
                <w:top w:val="none" w:color="000000" w:sz="0" w:space="0"/>
                <w:left w:val="none" w:color="000000" w:sz="0" w:space="0"/>
                <w:bottom w:val="none" w:color="000000" w:sz="0" w:space="0"/>
                <w:right w:val="none" w:color="000000" w:sz="0" w:space="0"/>
              </w:pBdr>
            </w:pPr>
            <w:r>
              <w:rPr>
                <w:rFonts w:hint="eastAsia" w:ascii="宋体" w:hAnsi="宋体" w:cs="宋体"/>
                <w:b/>
                <w:bCs/>
                <w:sz w:val="24"/>
              </w:rPr>
              <w:t xml:space="preserve">1.《投标函》（加盖电子签章，格式见招标文件第七章《投标文件相关格式》。）</w:t>
            </w:r>
            <w:r/>
          </w:p>
          <w:p>
            <w:pPr>
              <w:spacing w:line="360" w:lineRule="auto"/>
              <w:rPr>
                <w:rFonts w:ascii="宋体" w:hAnsi="宋体" w:cs="宋体"/>
                <w:b/>
                <w:bCs/>
                <w:sz w:val="24"/>
              </w:rPr>
              <w:pBdr>
                <w:top w:val="none" w:color="000000" w:sz="0" w:space="0"/>
                <w:left w:val="none" w:color="000000" w:sz="0" w:space="0"/>
                <w:bottom w:val="none" w:color="000000" w:sz="0" w:space="0"/>
                <w:right w:val="none" w:color="000000" w:sz="0" w:space="0"/>
              </w:pBdr>
            </w:pPr>
            <w:r>
              <w:rPr>
                <w:rFonts w:hint="eastAsia" w:ascii="宋体" w:hAnsi="宋体" w:cs="宋体"/>
                <w:b/>
                <w:bCs/>
                <w:sz w:val="24"/>
              </w:rPr>
              <w:t xml:space="preserve">2.</w:t>
            </w:r>
            <w:r>
              <w:rPr>
                <w:rFonts w:hint="eastAsia" w:ascii="宋体" w:hAnsi="宋体" w:cs="宋体"/>
                <w:b/>
                <w:sz w:val="24"/>
              </w:rPr>
              <w:t xml:space="preserve">《授权委托书及法定代表人身份证明书》。加盖电子签章，格式见本文件第七章《投标文件相关格式》。</w:t>
            </w:r>
            <w:r/>
          </w:p>
          <w:p>
            <w:pPr>
              <w:spacing w:line="360" w:lineRule="auto"/>
              <w:rPr>
                <w:rFonts w:ascii="宋体" w:hAnsi="宋体" w:cs="宋体"/>
                <w:b/>
                <w:bCs/>
                <w:sz w:val="24"/>
              </w:rPr>
              <w:pBdr>
                <w:top w:val="none" w:color="000000" w:sz="0" w:space="0"/>
                <w:left w:val="none" w:color="000000" w:sz="0" w:space="0"/>
                <w:bottom w:val="none" w:color="000000" w:sz="0" w:space="0"/>
                <w:right w:val="none" w:color="000000" w:sz="0" w:space="0"/>
              </w:pBdr>
            </w:pPr>
            <w:r>
              <w:rPr>
                <w:rFonts w:hint="eastAsia" w:ascii="宋体" w:hAnsi="宋体" w:cs="宋体"/>
                <w:b/>
                <w:bCs/>
                <w:sz w:val="24"/>
              </w:rPr>
              <w:t xml:space="preserve">（三）技术响应</w:t>
            </w:r>
            <w:r/>
          </w:p>
          <w:p>
            <w:pPr>
              <w:spacing w:line="360" w:lineRule="auto"/>
              <w:rPr>
                <w:rFonts w:ascii="宋体" w:hAnsi="宋体" w:cs="宋体"/>
                <w:b/>
                <w:bCs/>
                <w:sz w:val="24"/>
              </w:rPr>
              <w:pBdr>
                <w:top w:val="none" w:color="000000" w:sz="0" w:space="0"/>
                <w:left w:val="none" w:color="000000" w:sz="0" w:space="0"/>
                <w:bottom w:val="none" w:color="000000" w:sz="0" w:space="0"/>
                <w:right w:val="none" w:color="000000" w:sz="0" w:space="0"/>
              </w:pBdr>
            </w:pPr>
            <w:r>
              <w:rPr>
                <w:rFonts w:hint="eastAsia" w:ascii="宋体" w:hAnsi="宋体" w:cs="宋体"/>
                <w:b/>
                <w:bCs/>
                <w:sz w:val="24"/>
              </w:rPr>
              <w:t xml:space="preserve">1.《偏离表》（加盖电子签章，格式见招标文件第七章《投标文件相关格式》。）</w:t>
            </w:r>
            <w:r/>
          </w:p>
          <w:p>
            <w:pPr>
              <w:spacing w:line="360" w:lineRule="auto"/>
              <w:rPr>
                <w:rFonts w:ascii="宋体" w:hAnsi="宋体" w:cs="宋体"/>
                <w:b/>
                <w:bCs/>
                <w:sz w:val="24"/>
              </w:rPr>
              <w:pBdr>
                <w:top w:val="none" w:color="000000" w:sz="0" w:space="0"/>
                <w:left w:val="none" w:color="000000" w:sz="0" w:space="0"/>
                <w:bottom w:val="none" w:color="000000" w:sz="0" w:space="0"/>
                <w:right w:val="none" w:color="000000" w:sz="0" w:space="0"/>
              </w:pBdr>
            </w:pPr>
            <w:r>
              <w:rPr>
                <w:rFonts w:hint="eastAsia" w:ascii="宋体" w:hAnsi="宋体" w:cs="宋体"/>
                <w:b/>
                <w:bCs/>
                <w:sz w:val="24"/>
              </w:rPr>
              <w:t xml:space="preserve">四、综合评审评分项</w:t>
            </w:r>
            <w:r/>
          </w:p>
          <w:p>
            <w:pPr>
              <w:spacing w:line="360" w:lineRule="auto"/>
              <w:rPr>
                <w:rFonts w:ascii="宋体" w:hAnsi="宋体" w:cs="宋体"/>
                <w:b/>
                <w:bCs/>
                <w:sz w:val="24"/>
              </w:rPr>
              <w:pBdr>
                <w:top w:val="none" w:color="000000" w:sz="0" w:space="0"/>
                <w:left w:val="none" w:color="000000" w:sz="0" w:space="0"/>
                <w:bottom w:val="none" w:color="000000" w:sz="0" w:space="0"/>
                <w:right w:val="none" w:color="000000" w:sz="0" w:space="0"/>
              </w:pBdr>
            </w:pPr>
            <w:r>
              <w:rPr>
                <w:rFonts w:hint="eastAsia" w:ascii="宋体" w:hAnsi="宋体" w:cs="宋体"/>
                <w:b/>
                <w:bCs/>
                <w:sz w:val="24"/>
              </w:rPr>
              <w:t xml:space="preserve">（一）技术部分</w:t>
            </w:r>
            <w:r/>
          </w:p>
          <w:p>
            <w:pPr>
              <w:spacing w:line="360" w:lineRule="auto"/>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b/>
                <w:bCs/>
                <w:sz w:val="24"/>
              </w:rPr>
              <w:t xml:space="preserve">1.偏离表、所投产品的技术参数说明</w:t>
            </w:r>
            <w:r>
              <w:rPr>
                <w:rFonts w:hint="eastAsia" w:ascii="宋体" w:hAnsi="宋体" w:cs="宋体"/>
                <w:sz w:val="24"/>
              </w:rPr>
              <w:t xml:space="preserve">（要求见招标文件第六章《采购需求》）；</w:t>
            </w:r>
            <w:r/>
          </w:p>
          <w:p>
            <w:pPr>
              <w:spacing w:line="360" w:lineRule="auto"/>
              <w:rPr>
                <w:rFonts w:ascii="宋体" w:hAnsi="宋体" w:cs="宋体"/>
                <w:b/>
                <w:bCs/>
                <w:sz w:val="24"/>
              </w:rPr>
              <w:pBdr>
                <w:top w:val="none" w:color="000000" w:sz="0" w:space="0"/>
                <w:left w:val="none" w:color="000000" w:sz="0" w:space="0"/>
                <w:bottom w:val="none" w:color="000000" w:sz="0" w:space="0"/>
                <w:right w:val="none" w:color="000000" w:sz="0" w:space="0"/>
              </w:pBdr>
            </w:pPr>
            <w:r>
              <w:rPr>
                <w:rFonts w:hint="eastAsia" w:ascii="宋体" w:hAnsi="宋体" w:cs="宋体"/>
                <w:b/>
                <w:bCs/>
                <w:sz w:val="24"/>
              </w:rPr>
              <w:t xml:space="preserve">2.所投产品性能与质量评价</w:t>
            </w:r>
            <w:r>
              <w:rPr>
                <w:rFonts w:hint="eastAsia" w:ascii="宋体" w:hAnsi="宋体" w:cs="宋体"/>
                <w:sz w:val="24"/>
              </w:rPr>
              <w:t xml:space="preserve">（要求见招标文件第六章《采购需求》及第四章《评标标准》中《评分细则》）；</w:t>
            </w:r>
            <w:r/>
          </w:p>
          <w:p>
            <w:pPr>
              <w:spacing w:line="360" w:lineRule="auto"/>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b/>
                <w:bCs/>
                <w:sz w:val="24"/>
              </w:rPr>
              <w:t xml:space="preserve">3.项目实施方案</w:t>
            </w:r>
            <w:r>
              <w:rPr>
                <w:rFonts w:hint="eastAsia" w:ascii="宋体" w:hAnsi="宋体" w:cs="宋体"/>
                <w:sz w:val="24"/>
              </w:rPr>
              <w:t xml:space="preserve">（要求见招标文件第六章《采购需求》及第四章《评标标准》中《评分细则》）；</w:t>
            </w:r>
            <w:r/>
          </w:p>
          <w:p>
            <w:pPr>
              <w:spacing w:line="360" w:lineRule="auto"/>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b/>
                <w:bCs/>
                <w:sz w:val="24"/>
              </w:rPr>
              <w:t xml:space="preserve">4.售后服务及培训方案</w:t>
            </w:r>
            <w:r>
              <w:rPr>
                <w:rFonts w:hint="eastAsia" w:ascii="宋体" w:hAnsi="宋体" w:cs="宋体"/>
                <w:sz w:val="24"/>
              </w:rPr>
              <w:t xml:space="preserve">（要求见招标文件第六章《采购需求》及第四章《评标标准》中《评分细则》）；</w:t>
            </w:r>
            <w:r/>
          </w:p>
          <w:p>
            <w:pPr>
              <w:spacing w:line="360" w:lineRule="auto"/>
              <w:rPr>
                <w:rFonts w:ascii="宋体" w:hAnsi="宋体" w:cs="宋体"/>
                <w:b/>
                <w:bCs/>
                <w:sz w:val="24"/>
              </w:rPr>
              <w:pBdr>
                <w:top w:val="none" w:color="000000" w:sz="0" w:space="0"/>
                <w:left w:val="none" w:color="000000" w:sz="0" w:space="0"/>
                <w:bottom w:val="none" w:color="000000" w:sz="0" w:space="0"/>
                <w:right w:val="none" w:color="000000" w:sz="0" w:space="0"/>
              </w:pBdr>
            </w:pPr>
            <w:r>
              <w:rPr>
                <w:rFonts w:hint="eastAsia" w:ascii="宋体" w:hAnsi="宋体" w:cs="宋体"/>
                <w:b/>
                <w:bCs/>
                <w:sz w:val="24"/>
              </w:rPr>
              <w:t xml:space="preserve">5.评分细则中评分得分需提供的相关证明文件扫描件。</w:t>
            </w:r>
            <w:r/>
          </w:p>
          <w:p>
            <w:pPr>
              <w:spacing w:line="360" w:lineRule="auto"/>
              <w:rPr>
                <w:rFonts w:ascii="宋体" w:hAnsi="宋体" w:cs="宋体"/>
                <w:b/>
                <w:bCs/>
                <w:sz w:val="24"/>
              </w:rPr>
              <w:pBdr>
                <w:top w:val="none" w:color="000000" w:sz="0" w:space="0"/>
                <w:left w:val="none" w:color="000000" w:sz="0" w:space="0"/>
                <w:bottom w:val="none" w:color="000000" w:sz="0" w:space="0"/>
                <w:right w:val="none" w:color="000000" w:sz="0" w:space="0"/>
              </w:pBdr>
            </w:pPr>
            <w:r>
              <w:rPr>
                <w:rFonts w:hint="eastAsia" w:ascii="宋体" w:hAnsi="宋体" w:cs="宋体"/>
                <w:b/>
                <w:sz w:val="24"/>
              </w:rPr>
              <w:t xml:space="preserve">（二）</w:t>
            </w:r>
            <w:r>
              <w:rPr>
                <w:rFonts w:hint="eastAsia" w:ascii="宋体" w:hAnsi="宋体" w:cs="宋体"/>
                <w:b/>
                <w:bCs/>
                <w:sz w:val="24"/>
              </w:rPr>
              <w:t xml:space="preserve">商务部分</w:t>
            </w:r>
            <w:r/>
          </w:p>
          <w:p>
            <w:pPr>
              <w:spacing w:line="360" w:lineRule="auto"/>
              <w:rPr>
                <w:rFonts w:ascii="宋体" w:hAnsi="宋体" w:cs="宋体"/>
                <w:b/>
                <w:bCs/>
                <w:sz w:val="24"/>
              </w:rPr>
              <w:pBdr>
                <w:top w:val="none" w:color="000000" w:sz="0" w:space="0"/>
                <w:left w:val="none" w:color="000000" w:sz="0" w:space="0"/>
                <w:bottom w:val="none" w:color="000000" w:sz="0" w:space="0"/>
                <w:right w:val="none" w:color="000000" w:sz="0" w:space="0"/>
              </w:pBdr>
            </w:pPr>
            <w:r>
              <w:rPr>
                <w:rFonts w:hint="eastAsia" w:ascii="宋体" w:hAnsi="宋体" w:cs="宋体"/>
                <w:b/>
                <w:bCs/>
                <w:sz w:val="24"/>
              </w:rPr>
              <w:t xml:space="preserve">1.投标人其他证明文件及材料扫描件（包括但不限于《免费质保期承诺函》）。</w:t>
            </w:r>
            <w:r/>
          </w:p>
          <w:p>
            <w:pPr>
              <w:spacing w:line="360" w:lineRule="auto"/>
              <w:rPr>
                <w:rFonts w:ascii="宋体" w:hAnsi="宋体" w:cs="宋体"/>
                <w:b/>
                <w:bCs/>
                <w:sz w:val="24"/>
              </w:rPr>
              <w:pBdr>
                <w:top w:val="none" w:color="000000" w:sz="0" w:space="0"/>
                <w:left w:val="none" w:color="000000" w:sz="0" w:space="0"/>
                <w:bottom w:val="none" w:color="000000" w:sz="0" w:space="0"/>
                <w:right w:val="none" w:color="000000" w:sz="0" w:space="0"/>
              </w:pBdr>
            </w:pPr>
            <w:r>
              <w:rPr>
                <w:rFonts w:hint="eastAsia" w:ascii="宋体" w:hAnsi="宋体" w:cs="宋体"/>
                <w:b/>
                <w:bCs/>
                <w:sz w:val="24"/>
              </w:rPr>
              <w:t xml:space="preserve">五、其他</w:t>
            </w:r>
            <w:r/>
          </w:p>
          <w:p>
            <w:pPr>
              <w:spacing w:line="360" w:lineRule="auto"/>
              <w:rPr>
                <w:rFonts w:ascii="宋体" w:hAnsi="宋体" w:cs="宋体"/>
                <w:bCs/>
                <w:sz w:val="24"/>
              </w:rPr>
            </w:pPr>
            <w:r>
              <w:rPr>
                <w:rFonts w:hint="eastAsia" w:ascii="宋体" w:hAnsi="宋体" w:cs="宋体"/>
                <w:bCs/>
                <w:sz w:val="24"/>
              </w:rPr>
              <w:t xml:space="preserve">1.投标人应对以上文件的合法性、真实性负责。</w:t>
            </w:r>
            <w:r/>
          </w:p>
          <w:p>
            <w:pPr>
              <w:spacing w:line="360" w:lineRule="auto"/>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bCs/>
                <w:sz w:val="24"/>
              </w:rPr>
              <w:t xml:space="preserve">2.签订合同前，中标人必须向采购人提交其投标文件中所有扫描件的原件，采购人核查无误后，签订合同。如中标人不能在采购人规定的时间内向采购人提供原件，将被采购人视为放弃中标资格。</w:t>
            </w:r>
            <w:r/>
          </w:p>
        </w:tc>
      </w:tr>
      <w:tr>
        <w:trPr>
          <w:jc w:val="center"/>
          <w:trHeight w:val="90"/>
        </w:trPr>
        <w:tc>
          <w:tcPr>
            <w:tcMar>
              <w:left w:w="108" w:type="dxa"/>
              <w:top w:w="0" w:type="dxa"/>
              <w:right w:w="108" w:type="dxa"/>
              <w:bottom w:w="0" w:type="dxa"/>
            </w:tcMar>
            <w:tcW w:w="1471" w:type="dxa"/>
            <w:textDirection w:val="lrTb"/>
            <w:noWrap w:val="false"/>
          </w:tcPr>
          <w:p>
            <w:pPr>
              <w:jc w:val="center"/>
              <w:spacing w:line="360" w:lineRule="auto"/>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（十三）2</w:t>
            </w:r>
            <w:r/>
          </w:p>
        </w:tc>
        <w:tc>
          <w:tcPr>
            <w:tcMar>
              <w:left w:w="108" w:type="dxa"/>
              <w:top w:w="0" w:type="dxa"/>
              <w:right w:w="108" w:type="dxa"/>
              <w:bottom w:w="0" w:type="dxa"/>
            </w:tcMar>
            <w:tcW w:w="8313" w:type="dxa"/>
            <w:textDirection w:val="lrTb"/>
            <w:noWrap w:val="false"/>
          </w:tcPr>
          <w:p>
            <w:pPr>
              <w:spacing w:line="360" w:lineRule="auto"/>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商务条件见：</w:t>
            </w:r>
            <w:r/>
          </w:p>
          <w:p>
            <w:pPr>
              <w:spacing w:line="360" w:lineRule="auto"/>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一、本文件第四章《评标标准》中《评分细则》。</w:t>
            </w:r>
            <w:r/>
          </w:p>
          <w:p>
            <w:pPr>
              <w:spacing w:line="360" w:lineRule="auto"/>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二、本文件第三章《投标资料表》中（十二）1和（十二）2。</w:t>
            </w:r>
            <w:r/>
          </w:p>
        </w:tc>
      </w:tr>
      <w:tr>
        <w:trPr>
          <w:jc w:val="center"/>
          <w:trHeight w:val="687"/>
        </w:trPr>
        <w:tc>
          <w:tcPr>
            <w:tcMar>
              <w:left w:w="108" w:type="dxa"/>
              <w:top w:w="0" w:type="dxa"/>
              <w:right w:w="108" w:type="dxa"/>
              <w:bottom w:w="0" w:type="dxa"/>
            </w:tcMar>
            <w:tcW w:w="1471" w:type="dxa"/>
            <w:textDirection w:val="lrTb"/>
            <w:noWrap w:val="false"/>
          </w:tcPr>
          <w:p>
            <w:pPr>
              <w:jc w:val="center"/>
              <w:spacing w:line="360" w:lineRule="auto"/>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（十三）3</w:t>
            </w:r>
            <w:r/>
          </w:p>
        </w:tc>
        <w:tc>
          <w:tcPr>
            <w:tcMar>
              <w:left w:w="108" w:type="dxa"/>
              <w:top w:w="0" w:type="dxa"/>
              <w:right w:w="108" w:type="dxa"/>
              <w:bottom w:w="0" w:type="dxa"/>
            </w:tcMar>
            <w:tcW w:w="8313" w:type="dxa"/>
            <w:textDirection w:val="lrTb"/>
            <w:noWrap w:val="false"/>
          </w:tcPr>
          <w:p>
            <w:pPr>
              <w:spacing w:line="360" w:lineRule="auto"/>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交货和提供服务的时间：见本文件第五章 《拟签订的合同文本》及本文件第六章《采购需求》。</w:t>
            </w:r>
            <w:r/>
          </w:p>
        </w:tc>
      </w:tr>
      <w:tr>
        <w:trPr>
          <w:jc w:val="center"/>
          <w:trHeight w:val="1009"/>
        </w:trPr>
        <w:tc>
          <w:tcPr>
            <w:tcMar>
              <w:left w:w="108" w:type="dxa"/>
              <w:top w:w="0" w:type="dxa"/>
              <w:right w:w="108" w:type="dxa"/>
              <w:bottom w:w="0" w:type="dxa"/>
            </w:tcMar>
            <w:tcW w:w="1471" w:type="dxa"/>
            <w:textDirection w:val="lrTb"/>
            <w:noWrap w:val="false"/>
          </w:tcPr>
          <w:p>
            <w:pPr>
              <w:jc w:val="center"/>
              <w:spacing w:line="360" w:lineRule="auto"/>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（十四）</w:t>
            </w:r>
            <w:r/>
          </w:p>
        </w:tc>
        <w:tc>
          <w:tcPr>
            <w:tcMar>
              <w:left w:w="108" w:type="dxa"/>
              <w:top w:w="0" w:type="dxa"/>
              <w:right w:w="108" w:type="dxa"/>
              <w:bottom w:w="0" w:type="dxa"/>
            </w:tcMar>
            <w:tcW w:w="8313" w:type="dxa"/>
            <w:textDirection w:val="lrTb"/>
            <w:noWrap w:val="false"/>
          </w:tcPr>
          <w:p>
            <w:pPr>
              <w:spacing w:line="360" w:lineRule="auto"/>
              <w:rPr>
                <w:rFonts w:ascii="宋体" w:hAnsi="宋体" w:cs="宋体"/>
                <w:b/>
                <w:bCs/>
                <w:sz w:val="24"/>
              </w:rPr>
            </w:pPr>
            <w:r>
              <w:rPr>
                <w:rFonts w:hint="eastAsia" w:ascii="宋体" w:hAnsi="宋体" w:cs="宋体"/>
                <w:b/>
                <w:bCs/>
                <w:sz w:val="24"/>
              </w:rPr>
              <w:t xml:space="preserve">本项目预算金额人民币</w:t>
            </w:r>
            <w:r>
              <w:rPr>
                <w:rFonts w:hint="eastAsia" w:ascii="宋体" w:hAnsi="宋体" w:cs="宋体"/>
                <w:b/>
                <w:bCs/>
                <w:sz w:val="24"/>
                <w:u w:val="single"/>
              </w:rPr>
              <w:t xml:space="preserve">75.00万元</w:t>
            </w:r>
            <w:r>
              <w:rPr>
                <w:rFonts w:hint="eastAsia" w:ascii="宋体" w:hAnsi="宋体" w:cs="宋体"/>
                <w:b/>
                <w:bCs/>
                <w:sz w:val="24"/>
              </w:rPr>
              <w:t xml:space="preserve">，不接受超过项目预算的投标报价。</w:t>
            </w:r>
            <w:r/>
          </w:p>
          <w:p>
            <w:pPr>
              <w:spacing w:line="360" w:lineRule="auto"/>
              <w:rPr>
                <w:rFonts w:ascii="宋体" w:hAnsi="宋体" w:cs="宋体"/>
                <w:sz w:val="24"/>
              </w:rPr>
            </w:pPr>
            <w:r>
              <w:rPr>
                <w:rFonts w:hint="eastAsia" w:ascii="宋体" w:hAnsi="宋体" w:cs="宋体"/>
                <w:sz w:val="24"/>
              </w:rPr>
              <w:t xml:space="preserve">报价包括全部货物和服务的报价，应包括所投设备及其备品、备件和专用工具费用、税费及包装、运至最终目的地的运输、保险、安装、检测验收、调试、技术支持与培训、售后服务与维保及相关劳务支出等工作所发生的全部费用以及投标人企业利润、税金和政策性文件规定及合同包含的所有风险、责任等费用。采购人不再支付报价以外的任何费用。</w:t>
            </w:r>
            <w:r/>
          </w:p>
        </w:tc>
      </w:tr>
      <w:tr>
        <w:trPr>
          <w:jc w:val="center"/>
          <w:trHeight w:val="417"/>
        </w:trPr>
        <w:tc>
          <w:tcPr>
            <w:tcMar>
              <w:left w:w="108" w:type="dxa"/>
              <w:top w:w="0" w:type="dxa"/>
              <w:right w:w="108" w:type="dxa"/>
              <w:bottom w:w="0" w:type="dxa"/>
            </w:tcMar>
            <w:tcW w:w="1471" w:type="dxa"/>
            <w:textDirection w:val="lrTb"/>
            <w:noWrap w:val="false"/>
          </w:tcPr>
          <w:p>
            <w:pPr>
              <w:jc w:val="center"/>
              <w:spacing w:line="360" w:lineRule="auto"/>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（十五）</w:t>
            </w:r>
            <w:r/>
          </w:p>
        </w:tc>
        <w:tc>
          <w:tcPr>
            <w:tcMar>
              <w:left w:w="108" w:type="dxa"/>
              <w:top w:w="0" w:type="dxa"/>
              <w:right w:w="108" w:type="dxa"/>
              <w:bottom w:w="0" w:type="dxa"/>
            </w:tcMar>
            <w:tcW w:w="8313" w:type="dxa"/>
            <w:vAlign w:val="center"/>
            <w:textDirection w:val="lrTb"/>
            <w:noWrap w:val="false"/>
          </w:tcPr>
          <w:p>
            <w:pPr>
              <w:spacing w:line="360" w:lineRule="auto"/>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以人民币报价。</w:t>
            </w:r>
            <w:r/>
          </w:p>
        </w:tc>
      </w:tr>
      <w:tr>
        <w:trPr>
          <w:jc w:val="center"/>
          <w:trHeight w:val="3725"/>
        </w:trPr>
        <w:tc>
          <w:tcPr>
            <w:tcMar>
              <w:left w:w="108" w:type="dxa"/>
              <w:top w:w="0" w:type="dxa"/>
              <w:right w:w="108" w:type="dxa"/>
              <w:bottom w:w="0" w:type="dxa"/>
            </w:tcMar>
            <w:tcW w:w="1471" w:type="dxa"/>
            <w:textDirection w:val="lrTb"/>
            <w:noWrap w:val="false"/>
          </w:tcPr>
          <w:p>
            <w:pPr>
              <w:jc w:val="center"/>
              <w:spacing w:line="360" w:lineRule="auto"/>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（十七）</w:t>
            </w:r>
            <w:r/>
          </w:p>
        </w:tc>
        <w:tc>
          <w:tcPr>
            <w:tcMar>
              <w:left w:w="108" w:type="dxa"/>
              <w:top w:w="0" w:type="dxa"/>
              <w:right w:w="108" w:type="dxa"/>
              <w:bottom w:w="0" w:type="dxa"/>
            </w:tcMar>
            <w:tcW w:w="8313" w:type="dxa"/>
            <w:vAlign w:val="center"/>
            <w:textDirection w:val="lrTb"/>
            <w:noWrap w:val="false"/>
          </w:tcPr>
          <w:p>
            <w:pPr>
              <w:spacing w:line="360" w:lineRule="auto"/>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投标人须用政府采购客户端工具导入“苏采云”系统下载的采购文件（后缀）、供应商操作手册及政府采购客户端工具可通过“苏采云”系统（网址：http://jszfcg.jsczt.cn）--已报名项目-－报名详情页面内相应链接进行下载；供应商操作手册及政府采购客户端工具也可通过徐州政府采购网-－业务工作－－快速服务－－下载专区，点击进入《江苏省政府采购管理交易系统（苏采云）供应商操作手册及政府采购客户端》，进行下载。</w:t>
            </w:r>
            <w:r/>
          </w:p>
          <w:p>
            <w:pPr>
              <w:spacing w:line="360" w:lineRule="auto"/>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投标人应当通过“苏采云”系统提交数据电文形式的投标文件（即电子投标）。</w:t>
            </w:r>
            <w:r/>
          </w:p>
          <w:p>
            <w:pPr>
              <w:spacing w:line="360" w:lineRule="auto"/>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特别说明：政府采购客户端工具需要导出加密的投标文件（后缀名为</w:t>
            </w:r>
            <w:r>
              <w:rPr>
                <w:rFonts w:hint="eastAsia" w:ascii="宋体" w:hAnsi="宋体" w:cs="宋体"/>
                <w:b/>
                <w:bCs/>
                <w:sz w:val="24"/>
              </w:rPr>
              <w:t xml:space="preserve">zip</w:t>
            </w:r>
            <w:r>
              <w:rPr>
                <w:rFonts w:hint="eastAsia" w:ascii="宋体" w:hAnsi="宋体" w:cs="宋体"/>
                <w:sz w:val="24"/>
              </w:rPr>
              <w:t xml:space="preserve">）。</w:t>
            </w:r>
            <w:r>
              <w:rPr>
                <w:rFonts w:hint="eastAsia" w:ascii="宋体" w:hAnsi="宋体" w:cs="宋体"/>
                <w:b/>
                <w:bCs/>
                <w:sz w:val="24"/>
              </w:rPr>
              <w:t xml:space="preserve">投标文件不得超过150M</w:t>
            </w:r>
            <w:r>
              <w:rPr>
                <w:rFonts w:hint="eastAsia" w:ascii="宋体" w:hAnsi="宋体" w:cs="宋体"/>
                <w:sz w:val="24"/>
              </w:rPr>
              <w:t xml:space="preserve">！名为“</w:t>
            </w:r>
            <w:r>
              <w:rPr>
                <w:rFonts w:hint="eastAsia" w:ascii="宋体" w:hAnsi="宋体" w:cs="宋体"/>
                <w:b/>
                <w:bCs/>
                <w:sz w:val="24"/>
              </w:rPr>
              <w:t xml:space="preserve">.kedt</w:t>
            </w:r>
            <w:r>
              <w:rPr>
                <w:rFonts w:hint="eastAsia" w:ascii="宋体" w:hAnsi="宋体" w:cs="宋体"/>
                <w:sz w:val="24"/>
              </w:rPr>
              <w:t xml:space="preserve">”）后，离线编制投标文件。采购文件（后缀名为“</w:t>
            </w:r>
            <w:r>
              <w:rPr>
                <w:rFonts w:hint="eastAsia" w:ascii="宋体" w:hAnsi="宋体" w:cs="宋体"/>
                <w:b/>
                <w:bCs/>
                <w:sz w:val="24"/>
              </w:rPr>
              <w:t xml:space="preserve">.kedt</w:t>
            </w:r>
            <w:r>
              <w:rPr>
                <w:rFonts w:hint="eastAsia" w:ascii="宋体" w:hAnsi="宋体" w:cs="宋体"/>
                <w:sz w:val="24"/>
              </w:rPr>
              <w:t xml:space="preserve">”）。</w:t>
            </w:r>
            <w:r/>
          </w:p>
        </w:tc>
      </w:tr>
      <w:tr>
        <w:trPr>
          <w:jc w:val="center"/>
          <w:trHeight w:val="525"/>
        </w:trPr>
        <w:tc>
          <w:tcPr>
            <w:tcMar>
              <w:left w:w="108" w:type="dxa"/>
              <w:top w:w="0" w:type="dxa"/>
              <w:right w:w="108" w:type="dxa"/>
              <w:bottom w:w="0" w:type="dxa"/>
            </w:tcMar>
            <w:tcW w:w="1471" w:type="dxa"/>
            <w:textDirection w:val="lrTb"/>
            <w:noWrap w:val="false"/>
          </w:tcPr>
          <w:p>
            <w:pPr>
              <w:jc w:val="center"/>
              <w:spacing w:line="360" w:lineRule="auto"/>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（十八）</w:t>
            </w:r>
            <w:r/>
          </w:p>
        </w:tc>
        <w:tc>
          <w:tcPr>
            <w:tcMar>
              <w:left w:w="108" w:type="dxa"/>
              <w:top w:w="0" w:type="dxa"/>
              <w:right w:w="108" w:type="dxa"/>
              <w:bottom w:w="0" w:type="dxa"/>
            </w:tcMar>
            <w:tcW w:w="8313" w:type="dxa"/>
            <w:vAlign w:val="center"/>
            <w:textDirection w:val="lrTb"/>
            <w:noWrap w:val="false"/>
          </w:tcPr>
          <w:p>
            <w:pPr>
              <w:spacing w:line="360" w:lineRule="auto"/>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见本文件第三章《投标资料表》中（十二）1和（十二）2</w:t>
            </w:r>
            <w:r/>
          </w:p>
        </w:tc>
      </w:tr>
      <w:tr>
        <w:trPr>
          <w:jc w:val="center"/>
          <w:trHeight w:val="1775"/>
        </w:trPr>
        <w:tc>
          <w:tcPr>
            <w:tcMar>
              <w:left w:w="108" w:type="dxa"/>
              <w:top w:w="0" w:type="dxa"/>
              <w:right w:w="108" w:type="dxa"/>
              <w:bottom w:w="0" w:type="dxa"/>
            </w:tcMar>
            <w:tcW w:w="1471" w:type="dxa"/>
            <w:textDirection w:val="lrTb"/>
            <w:noWrap w:val="false"/>
          </w:tcPr>
          <w:p>
            <w:pPr>
              <w:jc w:val="center"/>
              <w:spacing w:line="360" w:lineRule="auto"/>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（十九）</w:t>
            </w:r>
            <w:r/>
          </w:p>
        </w:tc>
        <w:tc>
          <w:tcPr>
            <w:tcMar>
              <w:left w:w="108" w:type="dxa"/>
              <w:top w:w="0" w:type="dxa"/>
              <w:right w:w="108" w:type="dxa"/>
              <w:bottom w:w="0" w:type="dxa"/>
            </w:tcMar>
            <w:tcW w:w="8313" w:type="dxa"/>
            <w:vAlign w:val="center"/>
            <w:textDirection w:val="lrTb"/>
            <w:noWrap w:val="false"/>
          </w:tcPr>
          <w:p>
            <w:pPr>
              <w:ind w:left="560" w:hanging="560"/>
              <w:spacing w:line="360" w:lineRule="auto"/>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投标文件的提交与接收： </w:t>
            </w:r>
            <w:r/>
          </w:p>
          <w:p>
            <w:pPr>
              <w:spacing w:line="360" w:lineRule="auto"/>
              <w:rPr>
                <w:rFonts w:ascii="宋体" w:hAnsi="宋体" w:cs="宋体"/>
                <w:b/>
                <w:bCs/>
                <w:sz w:val="24"/>
              </w:rPr>
              <w:pBdr>
                <w:top w:val="none" w:color="000000" w:sz="0" w:space="0"/>
                <w:left w:val="none" w:color="000000" w:sz="0" w:space="0"/>
                <w:bottom w:val="none" w:color="000000" w:sz="0" w:space="0"/>
                <w:right w:val="none" w:color="000000" w:sz="0" w:space="0"/>
              </w:pBdr>
            </w:pPr>
            <w:r>
              <w:rPr>
                <w:rFonts w:hint="eastAsia" w:ascii="宋体" w:hAnsi="宋体" w:cs="宋体"/>
                <w:b/>
                <w:bCs/>
                <w:sz w:val="24"/>
              </w:rPr>
              <w:t xml:space="preserve">1.投标文件提交与接收时间：2025年</w:t>
            </w:r>
            <w:r>
              <w:rPr>
                <w:rFonts w:hint="eastAsia" w:ascii="宋体" w:hAnsi="宋体" w:cs="宋体"/>
                <w:b/>
                <w:bCs/>
                <w:sz w:val="24"/>
                <w:u w:val="single"/>
              </w:rPr>
              <w:t xml:space="preserve">1</w:t>
            </w:r>
            <w:r>
              <w:rPr>
                <w:rFonts w:hint="eastAsia" w:ascii="宋体" w:hAnsi="宋体" w:cs="宋体"/>
                <w:b/>
                <w:bCs/>
                <w:sz w:val="24"/>
                <w:u w:val="single"/>
                <w:lang w:val="en-US" w:eastAsia="zh-CN"/>
              </w:rPr>
              <w:t xml:space="preserve">2</w:t>
            </w:r>
            <w:r>
              <w:rPr>
                <w:rFonts w:hint="eastAsia" w:ascii="宋体" w:hAnsi="宋体" w:cs="宋体"/>
                <w:b/>
                <w:bCs/>
                <w:sz w:val="24"/>
              </w:rPr>
              <w:t xml:space="preserve">月</w:t>
            </w:r>
            <w:r>
              <w:rPr>
                <w:rFonts w:hint="eastAsia" w:ascii="宋体" w:hAnsi="宋体" w:cs="宋体"/>
                <w:b/>
                <w:bCs/>
                <w:sz w:val="24"/>
                <w:u w:val="single"/>
              </w:rPr>
              <w:t xml:space="preserve"> 4 </w:t>
            </w:r>
            <w:r>
              <w:rPr>
                <w:rFonts w:hint="eastAsia" w:ascii="宋体" w:hAnsi="宋体" w:cs="宋体"/>
                <w:b/>
                <w:bCs/>
                <w:sz w:val="24"/>
              </w:rPr>
              <w:t xml:space="preserve">日北京时间09:30前。</w:t>
            </w:r>
            <w:r/>
          </w:p>
          <w:p>
            <w:pPr>
              <w:ind w:left="560" w:hanging="560"/>
              <w:spacing w:line="360" w:lineRule="auto"/>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2.投标文件提交与接收地点： </w:t>
            </w:r>
            <w:r/>
          </w:p>
          <w:p>
            <w:pPr>
              <w:spacing w:line="360" w:lineRule="auto"/>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投标人应当通过“苏采云”系统提交数据电文形式的投标文件（即电子投标），“苏采云”系统自动接收。</w:t>
            </w:r>
            <w:r/>
          </w:p>
        </w:tc>
      </w:tr>
      <w:tr>
        <w:trPr>
          <w:jc w:val="center"/>
          <w:trHeight w:val="1201"/>
        </w:trPr>
        <w:tc>
          <w:tcPr>
            <w:tcMar>
              <w:left w:w="108" w:type="dxa"/>
              <w:top w:w="0" w:type="dxa"/>
              <w:right w:w="108" w:type="dxa"/>
              <w:bottom w:w="0" w:type="dxa"/>
            </w:tcMar>
            <w:tcW w:w="1471" w:type="dxa"/>
            <w:textDirection w:val="lrTb"/>
            <w:noWrap w:val="false"/>
          </w:tcPr>
          <w:p>
            <w:pPr>
              <w:jc w:val="center"/>
              <w:spacing w:line="360" w:lineRule="auto"/>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（二十）</w:t>
            </w:r>
            <w:r/>
          </w:p>
        </w:tc>
        <w:tc>
          <w:tcPr>
            <w:tcMar>
              <w:left w:w="108" w:type="dxa"/>
              <w:top w:w="0" w:type="dxa"/>
              <w:right w:w="108" w:type="dxa"/>
              <w:bottom w:w="0" w:type="dxa"/>
            </w:tcMar>
            <w:tcW w:w="8313" w:type="dxa"/>
            <w:vAlign w:val="center"/>
            <w:textDirection w:val="lrTb"/>
            <w:noWrap w:val="false"/>
          </w:tcPr>
          <w:p>
            <w:pPr>
              <w:spacing w:line="360" w:lineRule="auto"/>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电子投标文件应由其法定代表人或法定代表人授权代表在规定的网上投标时间内，</w:t>
            </w:r>
            <w:r>
              <w:rPr>
                <w:rFonts w:hint="eastAsia" w:ascii="宋体" w:hAnsi="宋体" w:cs="宋体"/>
                <w:b/>
                <w:sz w:val="24"/>
              </w:rPr>
              <w:t xml:space="preserve">凭 CA 证书登陆“苏采云”系统在线编制投标文件（电子数据），并在投标截止时间之前上传投标文件。并于开标时凭CA锁进行解密。</w:t>
            </w:r>
            <w:r/>
          </w:p>
        </w:tc>
      </w:tr>
      <w:tr>
        <w:trPr>
          <w:jc w:val="center"/>
        </w:trPr>
        <w:tc>
          <w:tcPr>
            <w:tcMar>
              <w:left w:w="108" w:type="dxa"/>
              <w:top w:w="0" w:type="dxa"/>
              <w:right w:w="108" w:type="dxa"/>
              <w:bottom w:w="0" w:type="dxa"/>
            </w:tcMar>
            <w:tcW w:w="1471" w:type="dxa"/>
            <w:textDirection w:val="lrTb"/>
            <w:noWrap w:val="false"/>
          </w:tcPr>
          <w:p>
            <w:pPr>
              <w:jc w:val="center"/>
              <w:spacing w:line="360" w:lineRule="auto"/>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四</w:t>
            </w:r>
            <w:r/>
          </w:p>
        </w:tc>
        <w:tc>
          <w:tcPr>
            <w:tcMar>
              <w:left w:w="108" w:type="dxa"/>
              <w:top w:w="0" w:type="dxa"/>
              <w:right w:w="108" w:type="dxa"/>
              <w:bottom w:w="0" w:type="dxa"/>
            </w:tcMar>
            <w:tcW w:w="8313" w:type="dxa"/>
            <w:textDirection w:val="lrTb"/>
            <w:noWrap w:val="false"/>
          </w:tcPr>
          <w:p>
            <w:pPr>
              <w:spacing w:line="360" w:lineRule="auto"/>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开标</w:t>
            </w:r>
            <w:r/>
          </w:p>
        </w:tc>
      </w:tr>
      <w:tr>
        <w:trPr>
          <w:jc w:val="center"/>
          <w:trHeight w:val="90"/>
        </w:trPr>
        <w:tc>
          <w:tcPr>
            <w:tcMar>
              <w:left w:w="108" w:type="dxa"/>
              <w:top w:w="0" w:type="dxa"/>
              <w:right w:w="108" w:type="dxa"/>
              <w:bottom w:w="0" w:type="dxa"/>
            </w:tcMar>
            <w:tcW w:w="1471" w:type="dxa"/>
            <w:textDirection w:val="lrTb"/>
            <w:noWrap w:val="false"/>
          </w:tcPr>
          <w:p>
            <w:pPr>
              <w:jc w:val="center"/>
              <w:spacing w:line="360" w:lineRule="auto"/>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（二十五）1</w:t>
            </w:r>
            <w:r/>
          </w:p>
        </w:tc>
        <w:tc>
          <w:tcPr>
            <w:tcMar>
              <w:left w:w="108" w:type="dxa"/>
              <w:top w:w="0" w:type="dxa"/>
              <w:right w:w="108" w:type="dxa"/>
              <w:bottom w:w="0" w:type="dxa"/>
            </w:tcMar>
            <w:tcW w:w="8313" w:type="dxa"/>
            <w:vAlign w:val="center"/>
            <w:textDirection w:val="lrTb"/>
            <w:noWrap w:val="false"/>
          </w:tcPr>
          <w:p>
            <w:pPr>
              <w:spacing w:line="360" w:lineRule="auto"/>
              <w:rPr>
                <w:rFonts w:ascii="宋体" w:hAnsi="宋体" w:cs="宋体"/>
                <w:b/>
                <w:bCs/>
                <w:sz w:val="24"/>
              </w:rPr>
              <w:pBdr>
                <w:top w:val="none" w:color="000000" w:sz="0" w:space="0"/>
                <w:left w:val="none" w:color="000000" w:sz="0" w:space="0"/>
                <w:bottom w:val="none" w:color="000000" w:sz="0" w:space="0"/>
                <w:right w:val="none" w:color="000000" w:sz="0" w:space="0"/>
              </w:pBdr>
            </w:pPr>
            <w:r>
              <w:rPr>
                <w:rFonts w:hint="eastAsia" w:ascii="宋体" w:hAnsi="宋体" w:cs="宋体"/>
                <w:b/>
                <w:bCs/>
                <w:sz w:val="24"/>
              </w:rPr>
              <w:t xml:space="preserve">开标时间及地点：</w:t>
            </w:r>
            <w:r/>
          </w:p>
          <w:p>
            <w:pPr>
              <w:spacing w:line="360" w:lineRule="auto"/>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b/>
                <w:bCs/>
                <w:sz w:val="24"/>
              </w:rPr>
              <w:t xml:space="preserve">1.开标时间：</w:t>
            </w:r>
            <w:r>
              <w:rPr>
                <w:rFonts w:hint="eastAsia" w:ascii="宋体" w:hAnsi="宋体" w:cs="宋体"/>
                <w:b/>
                <w:sz w:val="24"/>
              </w:rPr>
              <w:t xml:space="preserve">2025年</w:t>
            </w:r>
            <w:r>
              <w:rPr>
                <w:rFonts w:hint="eastAsia" w:ascii="宋体" w:hAnsi="宋体" w:cs="宋体"/>
                <w:b/>
                <w:sz w:val="24"/>
                <w:u w:val="single"/>
              </w:rPr>
              <w:t xml:space="preserve">1</w:t>
            </w:r>
            <w:r>
              <w:rPr>
                <w:rFonts w:hint="eastAsia" w:ascii="宋体" w:hAnsi="宋体" w:cs="宋体"/>
                <w:b/>
                <w:sz w:val="24"/>
                <w:u w:val="single"/>
                <w:lang w:val="en-US" w:eastAsia="zh-CN"/>
              </w:rPr>
              <w:t xml:space="preserve">2</w:t>
            </w:r>
            <w:r>
              <w:rPr>
                <w:rFonts w:hint="eastAsia" w:ascii="宋体" w:hAnsi="宋体" w:cs="宋体"/>
                <w:b/>
                <w:sz w:val="24"/>
              </w:rPr>
              <w:t xml:space="preserve">月</w:t>
            </w:r>
            <w:r>
              <w:rPr>
                <w:rFonts w:hint="eastAsia" w:ascii="宋体" w:hAnsi="宋体" w:cs="宋体"/>
                <w:b/>
                <w:sz w:val="24"/>
                <w:u w:val="single"/>
              </w:rPr>
              <w:t xml:space="preserve"> 4 </w:t>
            </w:r>
            <w:r>
              <w:rPr>
                <w:rFonts w:hint="eastAsia" w:ascii="宋体" w:hAnsi="宋体" w:cs="宋体"/>
                <w:b/>
                <w:sz w:val="24"/>
              </w:rPr>
              <w:t xml:space="preserve">日09:30（北京时间）</w:t>
            </w:r>
            <w:r/>
          </w:p>
          <w:p>
            <w:pPr>
              <w:spacing w:line="360" w:lineRule="auto"/>
              <w:rPr>
                <w:rFonts w:ascii="宋体" w:hAnsi="宋体" w:cs="宋体"/>
                <w:b/>
                <w:bCs/>
                <w:sz w:val="24"/>
              </w:rPr>
              <w:pBdr>
                <w:top w:val="none" w:color="000000" w:sz="0" w:space="0"/>
                <w:left w:val="none" w:color="000000" w:sz="0" w:space="0"/>
                <w:bottom w:val="none" w:color="000000" w:sz="0" w:space="0"/>
                <w:right w:val="none" w:color="000000" w:sz="0" w:space="0"/>
              </w:pBdr>
            </w:pPr>
            <w:r>
              <w:rPr>
                <w:rFonts w:hint="eastAsia" w:ascii="宋体" w:hAnsi="宋体" w:cs="宋体"/>
                <w:b/>
                <w:bCs/>
                <w:sz w:val="24"/>
              </w:rPr>
              <w:t xml:space="preserve">2.开标地点：</w:t>
            </w:r>
            <w:r/>
          </w:p>
          <w:p>
            <w:pPr>
              <w:jc w:val="left"/>
              <w:spacing w:line="360" w:lineRule="auto"/>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“苏采云”系统（网址： http://jszfcg.jsczt.cn/）“开标大厅”或进入徐州政府采购网（网址：http://czj.xz.gov.cn/Home/HomeIndex）--业务工作--用户登录，点击“苏采云”进入系统“开标大厅”。</w:t>
            </w:r>
            <w:r/>
          </w:p>
        </w:tc>
      </w:tr>
      <w:tr>
        <w:trPr>
          <w:jc w:val="center"/>
          <w:trHeight w:val="540"/>
        </w:trPr>
        <w:tc>
          <w:tcPr>
            <w:tcMar>
              <w:left w:w="108" w:type="dxa"/>
              <w:top w:w="0" w:type="dxa"/>
              <w:right w:w="108" w:type="dxa"/>
              <w:bottom w:w="0" w:type="dxa"/>
            </w:tcMar>
            <w:tcW w:w="1471" w:type="dxa"/>
            <w:textDirection w:val="lrTb"/>
            <w:noWrap w:val="false"/>
          </w:tcPr>
          <w:p>
            <w:pPr>
              <w:jc w:val="center"/>
              <w:spacing w:line="360" w:lineRule="auto"/>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（二十五）1</w:t>
            </w:r>
            <w:r/>
          </w:p>
        </w:tc>
        <w:tc>
          <w:tcPr>
            <w:tcMar>
              <w:left w:w="108" w:type="dxa"/>
              <w:top w:w="0" w:type="dxa"/>
              <w:right w:w="108" w:type="dxa"/>
              <w:bottom w:w="0" w:type="dxa"/>
            </w:tcMar>
            <w:tcW w:w="8313" w:type="dxa"/>
            <w:vAlign w:val="center"/>
            <w:textDirection w:val="lrTb"/>
            <w:noWrap w:val="false"/>
          </w:tcPr>
          <w:p>
            <w:pPr>
              <w:spacing w:line="360" w:lineRule="auto"/>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招标文件规定的需要宣布的内容：投标人名称、投标价格。</w:t>
            </w:r>
            <w:r/>
          </w:p>
        </w:tc>
      </w:tr>
      <w:tr>
        <w:trPr>
          <w:jc w:val="center"/>
        </w:trPr>
        <w:tc>
          <w:tcPr>
            <w:tcMar>
              <w:left w:w="108" w:type="dxa"/>
              <w:top w:w="0" w:type="dxa"/>
              <w:right w:w="108" w:type="dxa"/>
              <w:bottom w:w="0" w:type="dxa"/>
            </w:tcMar>
            <w:tcW w:w="1471" w:type="dxa"/>
            <w:textDirection w:val="lrTb"/>
            <w:noWrap w:val="false"/>
          </w:tcPr>
          <w:p>
            <w:pPr>
              <w:jc w:val="center"/>
              <w:spacing w:line="360" w:lineRule="auto"/>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五</w:t>
            </w:r>
            <w:r/>
          </w:p>
        </w:tc>
        <w:tc>
          <w:tcPr>
            <w:tcMar>
              <w:left w:w="108" w:type="dxa"/>
              <w:top w:w="0" w:type="dxa"/>
              <w:right w:w="108" w:type="dxa"/>
              <w:bottom w:w="0" w:type="dxa"/>
            </w:tcMar>
            <w:tcW w:w="8313" w:type="dxa"/>
            <w:textDirection w:val="lrTb"/>
            <w:noWrap w:val="false"/>
          </w:tcPr>
          <w:p>
            <w:pPr>
              <w:spacing w:line="360" w:lineRule="auto"/>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评标</w:t>
            </w:r>
            <w:r/>
          </w:p>
        </w:tc>
      </w:tr>
      <w:tr>
        <w:trPr>
          <w:jc w:val="center"/>
          <w:trHeight w:val="220"/>
        </w:trPr>
        <w:tc>
          <w:tcPr>
            <w:tcMar>
              <w:left w:w="108" w:type="dxa"/>
              <w:top w:w="0" w:type="dxa"/>
              <w:right w:w="108" w:type="dxa"/>
              <w:bottom w:w="0" w:type="dxa"/>
            </w:tcMar>
            <w:tcW w:w="1471" w:type="dxa"/>
            <w:textDirection w:val="lrTb"/>
            <w:noWrap w:val="false"/>
          </w:tcPr>
          <w:p>
            <w:pPr>
              <w:jc w:val="center"/>
              <w:spacing w:line="360" w:lineRule="auto"/>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（二十七）</w:t>
            </w:r>
            <w:r/>
          </w:p>
        </w:tc>
        <w:tc>
          <w:tcPr>
            <w:tcMar>
              <w:left w:w="108" w:type="dxa"/>
              <w:top w:w="0" w:type="dxa"/>
              <w:right w:w="108" w:type="dxa"/>
              <w:bottom w:w="0" w:type="dxa"/>
            </w:tcMar>
            <w:tcW w:w="8313" w:type="dxa"/>
            <w:textDirection w:val="lrTb"/>
            <w:noWrap w:val="false"/>
          </w:tcPr>
          <w:p>
            <w:pPr>
              <w:spacing w:line="360" w:lineRule="auto"/>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采用综合评分法。</w:t>
            </w:r>
            <w:r/>
          </w:p>
        </w:tc>
      </w:tr>
      <w:tr>
        <w:trPr>
          <w:jc w:val="center"/>
          <w:trHeight w:val="2621"/>
        </w:trPr>
        <w:tc>
          <w:tcPr>
            <w:tcMar>
              <w:left w:w="108" w:type="dxa"/>
              <w:top w:w="0" w:type="dxa"/>
              <w:right w:w="108" w:type="dxa"/>
              <w:bottom w:w="0" w:type="dxa"/>
            </w:tcMar>
            <w:tcW w:w="1471" w:type="dxa"/>
            <w:textDirection w:val="lrTb"/>
            <w:noWrap w:val="false"/>
          </w:tcPr>
          <w:p>
            <w:pPr>
              <w:jc w:val="center"/>
              <w:spacing w:line="360" w:lineRule="auto"/>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（二十八）</w:t>
            </w:r>
            <w:r/>
          </w:p>
        </w:tc>
        <w:tc>
          <w:tcPr>
            <w:tcMar>
              <w:left w:w="108" w:type="dxa"/>
              <w:top w:w="0" w:type="dxa"/>
              <w:right w:w="108" w:type="dxa"/>
              <w:bottom w:w="0" w:type="dxa"/>
            </w:tcMar>
            <w:tcW w:w="8313" w:type="dxa"/>
            <w:textDirection w:val="lrTb"/>
            <w:noWrap w:val="false"/>
          </w:tcPr>
          <w:p>
            <w:pPr>
              <w:spacing w:line="360" w:lineRule="auto"/>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一、推荐中标候选供应商名单。中标候选供应商数量应当根据采购需要确定，但必须按顺序排列中标候选供应商。</w:t>
            </w:r>
            <w:r/>
          </w:p>
          <w:p>
            <w:pPr>
              <w:spacing w:line="360" w:lineRule="auto"/>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二、采用综合评分法的，按评审后得分由高到低顺序排列。得分相同的，按投标报价由低到高顺序排列。得分且投标报价相同的，按所投产品的《技术参数说明》得分由高到低顺序排列，得分且投标报价且所投产品的《技术参数说明》得分均相同的，按《项目实施方案</w:t>
            </w:r>
            <w:r>
              <w:rPr>
                <w:rFonts w:hint="eastAsia"/>
              </w:rPr>
              <w:t xml:space="preserve">》</w:t>
            </w:r>
            <w:r>
              <w:rPr>
                <w:rFonts w:hint="eastAsia" w:ascii="宋体" w:hAnsi="宋体" w:cs="宋体"/>
                <w:sz w:val="24"/>
              </w:rPr>
              <w:t xml:space="preserve">得分由高到低顺序排列。</w:t>
            </w:r>
            <w:r/>
          </w:p>
          <w:p>
            <w:pPr>
              <w:spacing w:line="360" w:lineRule="auto"/>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三、采购人应当自收到评标报告之日起５个工作日内，在评标报告确定的中标候选人名单中按得分最高顺序确定一名中标人。</w:t>
            </w:r>
            <w:r/>
          </w:p>
        </w:tc>
      </w:tr>
      <w:tr>
        <w:trPr>
          <w:jc w:val="center"/>
          <w:trHeight w:val="3772"/>
        </w:trPr>
        <w:tc>
          <w:tcPr>
            <w:tcMar>
              <w:left w:w="108" w:type="dxa"/>
              <w:top w:w="0" w:type="dxa"/>
              <w:right w:w="108" w:type="dxa"/>
              <w:bottom w:w="0" w:type="dxa"/>
            </w:tcMar>
            <w:tcW w:w="1471" w:type="dxa"/>
            <w:textDirection w:val="lrTb"/>
            <w:noWrap w:val="false"/>
          </w:tcPr>
          <w:p>
            <w:pPr>
              <w:jc w:val="center"/>
              <w:spacing w:line="360" w:lineRule="auto"/>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二十九</w:t>
            </w:r>
            <w:r/>
          </w:p>
        </w:tc>
        <w:tc>
          <w:tcPr>
            <w:tcMar>
              <w:left w:w="108" w:type="dxa"/>
              <w:top w:w="0" w:type="dxa"/>
              <w:right w:w="108" w:type="dxa"/>
              <w:bottom w:w="0" w:type="dxa"/>
            </w:tcMar>
            <w:tcW w:w="8313" w:type="dxa"/>
            <w:textDirection w:val="lrTb"/>
            <w:noWrap w:val="false"/>
          </w:tcPr>
          <w:p>
            <w:pPr>
              <w:spacing w:line="360" w:lineRule="auto"/>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1.评标中需要投标人对投标文件澄清或者说明的，应当通过“苏采云”系统交换数据电文。在评标期间，请投标人保持在线。</w:t>
            </w:r>
            <w:r/>
          </w:p>
          <w:p>
            <w:pPr>
              <w:spacing w:line="360" w:lineRule="auto"/>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2.对于投标文件中含义不明确、同类问题表述不一致或者有明显文字和计算错误的内容，评标委员会通过“苏采云”系统要求投标人作出必要的澄清、说明或者补正，并规定回复时间。</w:t>
            </w:r>
            <w:r/>
          </w:p>
          <w:p>
            <w:pPr>
              <w:spacing w:line="360" w:lineRule="auto"/>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3.投标人的澄清、说明或者补正应当采用通过“苏采云”系统（使用“CA数字证书”，加盖电子签章）形式。投标人没有在规定的回复时间内作出必要的澄清、说明或者补正，评标委员会将认为投标人拒绝作出必要的澄清、说明或者补正，并承担相应的后果和法律责任。</w:t>
            </w:r>
            <w:r/>
          </w:p>
          <w:p>
            <w:pPr>
              <w:spacing w:line="360" w:lineRule="auto"/>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特别说明：“苏采云”系统通过“江苏省政府采购一体化不见面开标大厅”提醒投标人。投标人自行查看，投标人因自身原因不及时查看导致没收到信息，“苏采云”系统不承担任何责任。</w:t>
            </w:r>
            <w:r/>
          </w:p>
        </w:tc>
      </w:tr>
      <w:tr>
        <w:trPr>
          <w:jc w:val="center"/>
          <w:trHeight w:val="242"/>
        </w:trPr>
        <w:tc>
          <w:tcPr>
            <w:tcMar>
              <w:left w:w="108" w:type="dxa"/>
              <w:top w:w="0" w:type="dxa"/>
              <w:right w:w="108" w:type="dxa"/>
              <w:bottom w:w="0" w:type="dxa"/>
            </w:tcMar>
            <w:tcW w:w="1471" w:type="dxa"/>
            <w:textDirection w:val="lrTb"/>
            <w:noWrap w:val="false"/>
          </w:tcPr>
          <w:p>
            <w:pPr>
              <w:jc w:val="center"/>
              <w:spacing w:line="360" w:lineRule="auto"/>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七</w:t>
            </w:r>
            <w:r/>
          </w:p>
        </w:tc>
        <w:tc>
          <w:tcPr>
            <w:tcMar>
              <w:left w:w="108" w:type="dxa"/>
              <w:top w:w="0" w:type="dxa"/>
              <w:right w:w="108" w:type="dxa"/>
              <w:bottom w:w="0" w:type="dxa"/>
            </w:tcMar>
            <w:tcW w:w="8313" w:type="dxa"/>
            <w:textDirection w:val="lrTb"/>
            <w:noWrap w:val="false"/>
          </w:tcPr>
          <w:p>
            <w:pPr>
              <w:spacing w:line="360" w:lineRule="auto"/>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政府采购合同</w:t>
            </w:r>
            <w:r/>
          </w:p>
        </w:tc>
      </w:tr>
      <w:tr>
        <w:trPr>
          <w:jc w:val="center"/>
        </w:trPr>
        <w:tc>
          <w:tcPr>
            <w:tcMar>
              <w:left w:w="108" w:type="dxa"/>
              <w:top w:w="0" w:type="dxa"/>
              <w:right w:w="108" w:type="dxa"/>
              <w:bottom w:w="0" w:type="dxa"/>
            </w:tcMar>
            <w:tcW w:w="1471" w:type="dxa"/>
            <w:textDirection w:val="lrTb"/>
            <w:noWrap w:val="false"/>
          </w:tcPr>
          <w:p>
            <w:pPr>
              <w:jc w:val="center"/>
              <w:spacing w:line="360" w:lineRule="auto"/>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（三十六）</w:t>
            </w:r>
            <w:r/>
          </w:p>
        </w:tc>
        <w:tc>
          <w:tcPr>
            <w:tcMar>
              <w:left w:w="108" w:type="dxa"/>
              <w:top w:w="0" w:type="dxa"/>
              <w:right w:w="108" w:type="dxa"/>
              <w:bottom w:w="0" w:type="dxa"/>
            </w:tcMar>
            <w:tcW w:w="8313" w:type="dxa"/>
            <w:vAlign w:val="center"/>
            <w:textDirection w:val="lrTb"/>
            <w:noWrap w:val="false"/>
          </w:tcPr>
          <w:p>
            <w:pPr>
              <w:spacing w:line="360" w:lineRule="auto"/>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采购人与中标，成交供应商应当在中标，成交通知书发出之日起30日内，按照采购文件确定的事项签订政府采购合同。</w:t>
            </w:r>
            <w:r/>
          </w:p>
        </w:tc>
      </w:tr>
      <w:tr>
        <w:trPr>
          <w:jc w:val="center"/>
        </w:trPr>
        <w:tc>
          <w:tcPr>
            <w:tcMar>
              <w:left w:w="108" w:type="dxa"/>
              <w:top w:w="0" w:type="dxa"/>
              <w:right w:w="108" w:type="dxa"/>
              <w:bottom w:w="0" w:type="dxa"/>
            </w:tcMar>
            <w:tcW w:w="1471" w:type="dxa"/>
            <w:textDirection w:val="lrTb"/>
            <w:noWrap w:val="false"/>
          </w:tcPr>
          <w:p>
            <w:pPr>
              <w:jc w:val="center"/>
              <w:spacing w:line="360" w:lineRule="auto"/>
              <w:rPr>
                <w:rFonts w:ascii="宋体" w:hAnsi="宋体" w:cs="宋体"/>
                <w:b/>
                <w:bCs/>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（三十八）</w:t>
            </w:r>
            <w:r/>
          </w:p>
        </w:tc>
        <w:tc>
          <w:tcPr>
            <w:tcMar>
              <w:left w:w="108" w:type="dxa"/>
              <w:top w:w="0" w:type="dxa"/>
              <w:right w:w="108" w:type="dxa"/>
              <w:bottom w:w="0" w:type="dxa"/>
            </w:tcMar>
            <w:tcW w:w="8313" w:type="dxa"/>
            <w:vAlign w:val="center"/>
            <w:textDirection w:val="lrTb"/>
            <w:noWrap w:val="false"/>
          </w:tcPr>
          <w:p>
            <w:pPr>
              <w:spacing w:line="360" w:lineRule="auto"/>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履约保证金：</w:t>
            </w:r>
            <w:r>
              <w:rPr>
                <w:rFonts w:hint="eastAsia"/>
                <w:sz w:val="24"/>
              </w:rPr>
              <w:t xml:space="preserve">乙方应在合同签订后10日内，向甲方提交合同总价的10%（最高不得超过政府采购合同金额的10%）的履约保证金，具体详见合同条款</w:t>
            </w:r>
            <w:r>
              <w:rPr>
                <w:rFonts w:hint="eastAsia" w:ascii="宋体" w:hAnsi="宋体" w:cs="宋体"/>
                <w:sz w:val="24"/>
              </w:rPr>
              <w:t xml:space="preserve">。</w:t>
            </w:r>
            <w:r/>
          </w:p>
        </w:tc>
      </w:tr>
      <w:tr>
        <w:trPr>
          <w:jc w:val="center"/>
          <w:trHeight w:val="2053"/>
        </w:trPr>
        <w:tc>
          <w:tcPr>
            <w:tcMar>
              <w:left w:w="108" w:type="dxa"/>
              <w:top w:w="0" w:type="dxa"/>
              <w:right w:w="108" w:type="dxa"/>
              <w:bottom w:w="0" w:type="dxa"/>
            </w:tcMar>
            <w:tcW w:w="1471" w:type="dxa"/>
            <w:textDirection w:val="lrTb"/>
            <w:noWrap w:val="false"/>
          </w:tcPr>
          <w:p>
            <w:pPr>
              <w:jc w:val="center"/>
              <w:spacing w:line="360" w:lineRule="auto"/>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（四十）</w:t>
            </w:r>
            <w:r/>
          </w:p>
        </w:tc>
        <w:tc>
          <w:tcPr>
            <w:tcMar>
              <w:left w:w="108" w:type="dxa"/>
              <w:top w:w="0" w:type="dxa"/>
              <w:right w:w="108" w:type="dxa"/>
              <w:bottom w:w="0" w:type="dxa"/>
            </w:tcMar>
            <w:tcW w:w="8313" w:type="dxa"/>
            <w:textDirection w:val="lrTb"/>
            <w:noWrap w:val="false"/>
          </w:tcPr>
          <w:p>
            <w:pPr>
              <w:spacing w:line="360" w:lineRule="auto"/>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供应商对政府采购活动事项有疑问的，可以向采购人或采购代理机构提出询问；供应商认为采购文件、采购过程和中标、成交结果使自己的权益受到损害的，可以在知道或者应知其权益受到损害之日起七个工作日内，以书面形式向采购人或采购代理机构提出质疑。询问和质疑由采购人或采购代理机构依法处理。供应商对同一采购程序环节的质疑应在质疑期内一次性提出。</w:t>
            </w:r>
            <w:r/>
          </w:p>
          <w:p>
            <w:pPr>
              <w:spacing w:line="360" w:lineRule="auto"/>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质疑接收人：苏柏铭、孙萌      联系电话：0516-83906677</w:t>
            </w:r>
            <w:r/>
          </w:p>
          <w:p>
            <w:pPr>
              <w:spacing w:line="360" w:lineRule="auto"/>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地址：徐州市云龙区郭庄路世茂广场SOHO3号楼17楼</w:t>
            </w:r>
            <w:r/>
          </w:p>
        </w:tc>
      </w:tr>
      <w:tr>
        <w:trPr>
          <w:jc w:val="center"/>
        </w:trPr>
        <w:tc>
          <w:tcPr>
            <w:tcMar>
              <w:left w:w="108" w:type="dxa"/>
              <w:top w:w="0" w:type="dxa"/>
              <w:right w:w="108" w:type="dxa"/>
              <w:bottom w:w="0" w:type="dxa"/>
            </w:tcMar>
            <w:tcW w:w="1471" w:type="dxa"/>
            <w:vMerge w:val="restart"/>
            <w:textDirection w:val="lrTb"/>
            <w:noWrap w:val="false"/>
          </w:tcPr>
          <w:p>
            <w:pPr>
              <w:jc w:val="center"/>
              <w:spacing w:line="360" w:lineRule="auto"/>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附加说明</w:t>
            </w:r>
            <w:r/>
          </w:p>
        </w:tc>
        <w:tc>
          <w:tcPr>
            <w:tcMar>
              <w:left w:w="108" w:type="dxa"/>
              <w:top w:w="0" w:type="dxa"/>
              <w:right w:w="108" w:type="dxa"/>
              <w:bottom w:w="0" w:type="dxa"/>
            </w:tcMar>
            <w:tcW w:w="8313" w:type="dxa"/>
            <w:textDirection w:val="lrTb"/>
            <w:noWrap w:val="false"/>
          </w:tcPr>
          <w:p>
            <w:pPr>
              <w:spacing w:line="360" w:lineRule="auto"/>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中标人在收到中标通知书时，须向采购人和采购代理机构提交《开标一览表》和《分项价格表》的数据文件（WORD格式）。邮箱：744638740@qq.com</w:t>
            </w:r>
            <w:r/>
          </w:p>
        </w:tc>
      </w:tr>
      <w:tr>
        <w:trPr>
          <w:jc w:val="center"/>
        </w:trPr>
        <w:tc>
          <w:tcPr>
            <w:tcMar>
              <w:left w:w="108" w:type="dxa"/>
              <w:top w:w="0" w:type="dxa"/>
              <w:right w:w="108" w:type="dxa"/>
              <w:bottom w:w="0" w:type="dxa"/>
            </w:tcMar>
            <w:tcW w:w="1471" w:type="dxa"/>
            <w:vMerge w:val="continue"/>
            <w:textDirection w:val="lrTb"/>
            <w:noWrap w:val="false"/>
          </w:tcPr>
          <w:p>
            <w:pPr>
              <w:jc w:val="center"/>
              <w:spacing w:line="360" w:lineRule="auto"/>
              <w:rPr>
                <w:rFonts w:ascii="宋体" w:hAnsi="宋体" w:cs="宋体"/>
                <w:sz w:val="24"/>
              </w:rPr>
              <w:pBdr>
                <w:top w:val="none" w:color="000000" w:sz="0" w:space="0"/>
                <w:left w:val="none" w:color="000000" w:sz="0" w:space="0"/>
                <w:bottom w:val="none" w:color="000000" w:sz="0" w:space="0"/>
                <w:right w:val="none" w:color="000000" w:sz="0" w:space="0"/>
              </w:pBdr>
            </w:pPr>
            <w:r>
              <w:rPr>
                <w:rFonts w:ascii="宋体" w:hAnsi="宋体" w:cs="宋体"/>
                <w:sz w:val="24"/>
              </w:rPr>
            </w:r>
            <w:r/>
          </w:p>
        </w:tc>
        <w:tc>
          <w:tcPr>
            <w:tcMar>
              <w:left w:w="108" w:type="dxa"/>
              <w:top w:w="0" w:type="dxa"/>
              <w:right w:w="108" w:type="dxa"/>
              <w:bottom w:w="0" w:type="dxa"/>
            </w:tcMar>
            <w:tcW w:w="8313" w:type="dxa"/>
            <w:textDirection w:val="lrTb"/>
            <w:noWrap w:val="false"/>
          </w:tcPr>
          <w:p>
            <w:pPr>
              <w:spacing w:line="360" w:lineRule="auto"/>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1.评标中需要投标人对投标文件澄清或者说明的，应当通过“苏采云”系统交换数据电文。在评标期间，请投标人保持在线。</w:t>
            </w:r>
            <w:r/>
          </w:p>
          <w:p>
            <w:pPr>
              <w:spacing w:line="360" w:lineRule="auto"/>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2.对于投标文件中含义不明确、同类问题表述不一致或者有明显文字和计算错误的内容，评审委员会通过“苏采云”系统要求投标人作出必要的澄清、说明或者补正，并规定回复时间。</w:t>
            </w:r>
            <w:r/>
          </w:p>
          <w:p>
            <w:pPr>
              <w:spacing w:line="360" w:lineRule="auto"/>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3.投标人的澄清、说明或者补正应当采用通过“苏采云”系统（使用“CA数字证书”，加盖电子签章）形式。投标人没有在规定的回复时间内作出必要的澄清、说明或者补正，评审委员会将认为投标人拒绝作出必要的澄清、说明或者补正，并承担相应的后果和法律责任。</w:t>
            </w:r>
            <w:r/>
          </w:p>
          <w:p>
            <w:pPr>
              <w:spacing w:line="360" w:lineRule="auto"/>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特别说明：“苏采云”系统通过“江苏省政府采购一体化不见面开标大厅”提醒投标人。投标人自行查看，投标人因自身原因不及时查看导致没收到信息，“苏采云”系统不承担任何责任。</w:t>
            </w:r>
            <w:r/>
          </w:p>
        </w:tc>
      </w:tr>
    </w:tbl>
    <w:p>
      <w:pPr>
        <w:ind w:firstLine="600"/>
        <w:spacing w:line="239" w:lineRule="atLeas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 </w:t>
      </w:r>
      <w:r/>
    </w:p>
    <w:p>
      <w:pPr>
        <w:ind w:firstLine="600"/>
        <w:spacing w:line="239" w:lineRule="atLeas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 </w:t>
      </w:r>
      <w:r/>
    </w:p>
    <w:p>
      <w:pPr>
        <w:ind w:firstLine="600"/>
        <w:spacing w:line="519" w:lineRule="atLeast"/>
        <w:rPr>
          <w:rFonts w:ascii="宋体" w:hAnsi="宋体" w:cs="宋体"/>
          <w:sz w:val="24"/>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74" w:right="1474" w:bottom="1474" w:left="1474" w:header="851" w:footer="992" w:gutter="0"/>
          <w:pgNumType w:start="1"/>
          <w:cols w:num="1" w:sep="0" w:space="1701" w:equalWidth="1"/>
          <w:docGrid w:linePitch="360"/>
        </w:sectPr>
      </w:pPr>
      <w:r>
        <w:rPr>
          <w:rFonts w:ascii="宋体" w:hAnsi="宋体" w:cs="宋体"/>
          <w:sz w:val="24"/>
        </w:rPr>
      </w:r>
      <w:r/>
    </w:p>
    <w:p>
      <w:pPr>
        <w:spacing w:line="360" w:lineRule="auto"/>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本章附件：</w:t>
      </w:r>
      <w:r>
        <w:rPr>
          <w:rFonts w:hint="eastAsia" w:ascii="宋体" w:hAnsi="宋体" w:cs="宋体"/>
          <w:b/>
          <w:sz w:val="24"/>
        </w:rPr>
        <w:t xml:space="preserve">招标代理服务收费标准</w:t>
      </w:r>
      <w:r/>
    </w:p>
    <w:tbl>
      <w:tblPr>
        <w:tblStyle w:val="802"/>
        <w:tblW w:w="811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266"/>
        <w:gridCol w:w="2853"/>
      </w:tblGrid>
      <w:tr>
        <w:trPr>
          <w:jc w:val="center"/>
          <w:trHeight w:val="567"/>
        </w:trPr>
        <w:tc>
          <w:tcPr>
            <w:tcW w:w="5266" w:type="dxa"/>
            <w:vAlign w:val="center"/>
            <w:textDirection w:val="lrTb"/>
            <w:noWrap w:val="false"/>
          </w:tcPr>
          <w:p>
            <w:pPr>
              <w:jc w:val="center"/>
              <w:spacing w:line="400" w:lineRule="exact"/>
              <w:rPr>
                <w:rFonts w:ascii="宋体" w:hAnsi="宋体" w:cs="宋体"/>
                <w:b/>
                <w:bCs/>
                <w:sz w:val="28"/>
                <w:szCs w:val="28"/>
              </w:rPr>
            </w:pPr>
            <w:r>
              <w:rPr>
                <w:rFonts w:hint="eastAsia" w:ascii="宋体" w:hAnsi="宋体" w:cs="宋体"/>
                <w:b/>
                <w:bCs/>
                <w:sz w:val="28"/>
                <w:szCs w:val="28"/>
              </w:rPr>
              <w:t xml:space="preserve">中标或者成交金额</w:t>
            </w:r>
            <w:r/>
          </w:p>
        </w:tc>
        <w:tc>
          <w:tcPr>
            <w:tcW w:w="2853" w:type="dxa"/>
            <w:vAlign w:val="center"/>
            <w:textDirection w:val="lrTb"/>
            <w:noWrap w:val="false"/>
          </w:tcPr>
          <w:p>
            <w:pPr>
              <w:jc w:val="center"/>
              <w:spacing w:line="400" w:lineRule="exact"/>
              <w:rPr>
                <w:rFonts w:ascii="宋体" w:hAnsi="宋体" w:cs="宋体"/>
                <w:b/>
                <w:bCs/>
                <w:sz w:val="28"/>
                <w:szCs w:val="28"/>
              </w:rPr>
            </w:pPr>
            <w:r>
              <w:rPr>
                <w:rFonts w:hint="eastAsia" w:ascii="宋体" w:hAnsi="宋体" w:cs="宋体"/>
                <w:b/>
                <w:bCs/>
                <w:sz w:val="28"/>
                <w:szCs w:val="28"/>
              </w:rPr>
              <w:t xml:space="preserve">费率</w:t>
            </w:r>
            <w:r/>
          </w:p>
        </w:tc>
      </w:tr>
      <w:tr>
        <w:trPr>
          <w:jc w:val="center"/>
          <w:trHeight w:val="567"/>
        </w:trPr>
        <w:tc>
          <w:tcPr>
            <w:tcW w:w="5266" w:type="dxa"/>
            <w:vAlign w:val="center"/>
            <w:textDirection w:val="lrTb"/>
            <w:noWrap w:val="false"/>
          </w:tcPr>
          <w:p>
            <w:pPr>
              <w:jc w:val="center"/>
              <w:spacing w:line="400" w:lineRule="exact"/>
              <w:rPr>
                <w:rFonts w:ascii="宋体" w:hAnsi="宋体" w:cs="宋体"/>
                <w:sz w:val="24"/>
              </w:rPr>
            </w:pPr>
            <w:r>
              <w:rPr>
                <w:rFonts w:hint="eastAsia" w:ascii="宋体" w:hAnsi="宋体" w:cs="宋体"/>
                <w:sz w:val="24"/>
              </w:rPr>
              <w:t xml:space="preserve">最低收费金额（每个委托项目）</w:t>
            </w:r>
            <w:r/>
          </w:p>
        </w:tc>
        <w:tc>
          <w:tcPr>
            <w:tcW w:w="2853" w:type="dxa"/>
            <w:vAlign w:val="center"/>
            <w:textDirection w:val="lrTb"/>
            <w:noWrap w:val="false"/>
          </w:tcPr>
          <w:p>
            <w:pPr>
              <w:jc w:val="center"/>
              <w:spacing w:line="400" w:lineRule="exact"/>
              <w:rPr>
                <w:rFonts w:ascii="宋体" w:hAnsi="宋体" w:cs="宋体"/>
                <w:sz w:val="24"/>
              </w:rPr>
            </w:pPr>
            <w:r>
              <w:rPr>
                <w:rFonts w:hint="eastAsia" w:ascii="宋体" w:hAnsi="宋体" w:cs="宋体"/>
                <w:sz w:val="24"/>
              </w:rPr>
              <w:t xml:space="preserve">5000元</w:t>
            </w:r>
            <w:r/>
          </w:p>
        </w:tc>
      </w:tr>
      <w:tr>
        <w:trPr>
          <w:jc w:val="center"/>
          <w:trHeight w:val="567"/>
        </w:trPr>
        <w:tc>
          <w:tcPr>
            <w:tcW w:w="5266" w:type="dxa"/>
            <w:vAlign w:val="center"/>
            <w:textDirection w:val="lrTb"/>
            <w:noWrap w:val="false"/>
          </w:tcPr>
          <w:p>
            <w:pPr>
              <w:jc w:val="center"/>
              <w:spacing w:line="400" w:lineRule="exact"/>
              <w:rPr>
                <w:rFonts w:ascii="宋体" w:hAnsi="宋体" w:cs="宋体"/>
                <w:sz w:val="24"/>
              </w:rPr>
            </w:pPr>
            <w:r>
              <w:rPr>
                <w:rFonts w:hint="eastAsia" w:ascii="宋体" w:hAnsi="宋体" w:cs="宋体"/>
                <w:sz w:val="24"/>
              </w:rPr>
              <w:t xml:space="preserve">50万元以下（含50万元）</w:t>
            </w:r>
            <w:r/>
          </w:p>
        </w:tc>
        <w:tc>
          <w:tcPr>
            <w:tcW w:w="2853" w:type="dxa"/>
            <w:vAlign w:val="center"/>
            <w:textDirection w:val="lrTb"/>
            <w:noWrap w:val="false"/>
          </w:tcPr>
          <w:p>
            <w:pPr>
              <w:jc w:val="center"/>
              <w:spacing w:line="400" w:lineRule="exact"/>
              <w:rPr>
                <w:rFonts w:ascii="宋体" w:hAnsi="宋体" w:cs="宋体"/>
                <w:sz w:val="24"/>
              </w:rPr>
            </w:pPr>
            <w:r>
              <w:rPr>
                <w:rFonts w:hint="eastAsia" w:ascii="宋体" w:hAnsi="宋体" w:cs="宋体"/>
                <w:sz w:val="24"/>
              </w:rPr>
              <w:t xml:space="preserve">1.6%</w:t>
            </w:r>
            <w:r/>
          </w:p>
        </w:tc>
      </w:tr>
      <w:tr>
        <w:trPr>
          <w:jc w:val="center"/>
          <w:trHeight w:val="567"/>
        </w:trPr>
        <w:tc>
          <w:tcPr>
            <w:tcW w:w="5266" w:type="dxa"/>
            <w:vAlign w:val="center"/>
            <w:textDirection w:val="lrTb"/>
            <w:noWrap w:val="false"/>
          </w:tcPr>
          <w:p>
            <w:pPr>
              <w:jc w:val="center"/>
              <w:spacing w:line="400" w:lineRule="exact"/>
              <w:rPr>
                <w:rFonts w:ascii="宋体" w:hAnsi="宋体" w:cs="宋体"/>
                <w:sz w:val="24"/>
              </w:rPr>
            </w:pPr>
            <w:r>
              <w:rPr>
                <w:rFonts w:hint="eastAsia" w:ascii="宋体" w:hAnsi="宋体" w:cs="宋体"/>
                <w:sz w:val="24"/>
              </w:rPr>
              <w:t xml:space="preserve">50万-400万元（含400万元）</w:t>
            </w:r>
            <w:r/>
          </w:p>
        </w:tc>
        <w:tc>
          <w:tcPr>
            <w:tcW w:w="2853" w:type="dxa"/>
            <w:vAlign w:val="center"/>
            <w:textDirection w:val="lrTb"/>
            <w:noWrap w:val="false"/>
          </w:tcPr>
          <w:p>
            <w:pPr>
              <w:jc w:val="center"/>
              <w:spacing w:line="400" w:lineRule="exact"/>
              <w:rPr>
                <w:rFonts w:ascii="宋体" w:hAnsi="宋体" w:cs="宋体"/>
                <w:sz w:val="24"/>
              </w:rPr>
            </w:pPr>
            <w:r>
              <w:rPr>
                <w:rFonts w:hint="eastAsia" w:ascii="宋体" w:hAnsi="宋体" w:cs="宋体"/>
                <w:sz w:val="24"/>
              </w:rPr>
              <w:t xml:space="preserve">1.5%</w:t>
            </w:r>
            <w:r/>
          </w:p>
        </w:tc>
      </w:tr>
      <w:tr>
        <w:trPr>
          <w:jc w:val="center"/>
          <w:trHeight w:val="567"/>
        </w:trPr>
        <w:tc>
          <w:tcPr>
            <w:tcW w:w="5266" w:type="dxa"/>
            <w:vAlign w:val="center"/>
            <w:textDirection w:val="lrTb"/>
            <w:noWrap w:val="false"/>
          </w:tcPr>
          <w:p>
            <w:pPr>
              <w:jc w:val="center"/>
              <w:spacing w:line="400" w:lineRule="exact"/>
              <w:rPr>
                <w:rFonts w:ascii="宋体" w:hAnsi="宋体" w:cs="宋体"/>
                <w:sz w:val="24"/>
              </w:rPr>
            </w:pPr>
            <w:r>
              <w:rPr>
                <w:rFonts w:hint="eastAsia" w:ascii="宋体" w:hAnsi="宋体" w:cs="宋体"/>
                <w:sz w:val="24"/>
              </w:rPr>
              <w:t xml:space="preserve">400万-1000万元（含1000万元）</w:t>
            </w:r>
            <w:r/>
          </w:p>
        </w:tc>
        <w:tc>
          <w:tcPr>
            <w:tcW w:w="2853" w:type="dxa"/>
            <w:vAlign w:val="center"/>
            <w:textDirection w:val="lrTb"/>
            <w:noWrap w:val="false"/>
          </w:tcPr>
          <w:p>
            <w:pPr>
              <w:jc w:val="center"/>
              <w:spacing w:line="400" w:lineRule="exact"/>
              <w:rPr>
                <w:rFonts w:ascii="宋体" w:hAnsi="宋体" w:cs="宋体"/>
                <w:sz w:val="24"/>
              </w:rPr>
            </w:pPr>
            <w:r>
              <w:rPr>
                <w:rFonts w:hint="eastAsia" w:ascii="宋体" w:hAnsi="宋体" w:cs="宋体"/>
                <w:sz w:val="24"/>
              </w:rPr>
              <w:t xml:space="preserve">1.1%</w:t>
            </w:r>
            <w:r/>
          </w:p>
        </w:tc>
      </w:tr>
      <w:tr>
        <w:trPr>
          <w:jc w:val="center"/>
          <w:trHeight w:val="567"/>
        </w:trPr>
        <w:tc>
          <w:tcPr>
            <w:tcW w:w="5266" w:type="dxa"/>
            <w:vAlign w:val="center"/>
            <w:textDirection w:val="lrTb"/>
            <w:noWrap w:val="false"/>
          </w:tcPr>
          <w:p>
            <w:pPr>
              <w:jc w:val="center"/>
              <w:spacing w:line="400" w:lineRule="exact"/>
              <w:rPr>
                <w:rFonts w:ascii="宋体" w:hAnsi="宋体" w:cs="宋体"/>
                <w:sz w:val="24"/>
              </w:rPr>
            </w:pPr>
            <w:r>
              <w:rPr>
                <w:rFonts w:hint="eastAsia" w:ascii="宋体" w:hAnsi="宋体" w:cs="宋体"/>
                <w:sz w:val="24"/>
              </w:rPr>
              <w:t xml:space="preserve">1000万-5000万元（含5000万元）</w:t>
            </w:r>
            <w:r/>
          </w:p>
        </w:tc>
        <w:tc>
          <w:tcPr>
            <w:tcW w:w="2853" w:type="dxa"/>
            <w:vAlign w:val="center"/>
            <w:textDirection w:val="lrTb"/>
            <w:noWrap w:val="false"/>
          </w:tcPr>
          <w:p>
            <w:pPr>
              <w:jc w:val="center"/>
              <w:spacing w:line="400" w:lineRule="exact"/>
              <w:rPr>
                <w:rFonts w:ascii="宋体" w:hAnsi="宋体" w:cs="宋体"/>
                <w:sz w:val="24"/>
              </w:rPr>
            </w:pPr>
            <w:r>
              <w:rPr>
                <w:rFonts w:hint="eastAsia" w:ascii="宋体" w:hAnsi="宋体" w:cs="宋体"/>
                <w:sz w:val="24"/>
              </w:rPr>
              <w:t xml:space="preserve">0.8%</w:t>
            </w:r>
            <w:r/>
          </w:p>
        </w:tc>
      </w:tr>
      <w:tr>
        <w:trPr>
          <w:jc w:val="center"/>
          <w:trHeight w:val="567"/>
        </w:trPr>
        <w:tc>
          <w:tcPr>
            <w:tcW w:w="5266" w:type="dxa"/>
            <w:vAlign w:val="center"/>
            <w:textDirection w:val="lrTb"/>
            <w:noWrap w:val="false"/>
          </w:tcPr>
          <w:p>
            <w:pPr>
              <w:jc w:val="center"/>
              <w:spacing w:line="400" w:lineRule="exact"/>
              <w:rPr>
                <w:rFonts w:ascii="宋体" w:hAnsi="宋体" w:cs="宋体"/>
                <w:sz w:val="24"/>
              </w:rPr>
            </w:pPr>
            <w:r>
              <w:rPr>
                <w:rFonts w:hint="eastAsia" w:ascii="宋体" w:hAnsi="宋体" w:cs="宋体"/>
                <w:sz w:val="24"/>
              </w:rPr>
              <w:t xml:space="preserve">5000万-1亿元（含1亿元）</w:t>
            </w:r>
            <w:r/>
          </w:p>
        </w:tc>
        <w:tc>
          <w:tcPr>
            <w:tcW w:w="2853" w:type="dxa"/>
            <w:vAlign w:val="center"/>
            <w:textDirection w:val="lrTb"/>
            <w:noWrap w:val="false"/>
          </w:tcPr>
          <w:p>
            <w:pPr>
              <w:jc w:val="center"/>
              <w:spacing w:line="400" w:lineRule="exact"/>
              <w:rPr>
                <w:rFonts w:ascii="宋体" w:hAnsi="宋体" w:cs="宋体"/>
                <w:sz w:val="24"/>
              </w:rPr>
            </w:pPr>
            <w:r>
              <w:rPr>
                <w:rFonts w:hint="eastAsia" w:ascii="宋体" w:hAnsi="宋体" w:cs="宋体"/>
                <w:sz w:val="24"/>
              </w:rPr>
              <w:t xml:space="preserve">0.25%</w:t>
            </w:r>
            <w:r/>
          </w:p>
        </w:tc>
      </w:tr>
      <w:tr>
        <w:trPr>
          <w:jc w:val="center"/>
          <w:trHeight w:val="567"/>
        </w:trPr>
        <w:tc>
          <w:tcPr>
            <w:tcW w:w="5266" w:type="dxa"/>
            <w:vAlign w:val="center"/>
            <w:textDirection w:val="lrTb"/>
            <w:noWrap w:val="false"/>
          </w:tcPr>
          <w:p>
            <w:pPr>
              <w:jc w:val="center"/>
              <w:spacing w:line="400" w:lineRule="exact"/>
              <w:rPr>
                <w:rFonts w:ascii="宋体" w:hAnsi="宋体" w:cs="宋体"/>
                <w:sz w:val="24"/>
              </w:rPr>
            </w:pPr>
            <w:r>
              <w:rPr>
                <w:rFonts w:hint="eastAsia" w:ascii="宋体" w:hAnsi="宋体" w:cs="宋体"/>
                <w:sz w:val="24"/>
              </w:rPr>
              <w:t xml:space="preserve">1亿-10亿元（含10亿元）</w:t>
            </w:r>
            <w:r/>
          </w:p>
        </w:tc>
        <w:tc>
          <w:tcPr>
            <w:tcW w:w="2853" w:type="dxa"/>
            <w:vAlign w:val="center"/>
            <w:textDirection w:val="lrTb"/>
            <w:noWrap w:val="false"/>
          </w:tcPr>
          <w:p>
            <w:pPr>
              <w:jc w:val="center"/>
              <w:spacing w:line="400" w:lineRule="exact"/>
              <w:rPr>
                <w:rFonts w:ascii="宋体" w:hAnsi="宋体" w:cs="宋体"/>
                <w:sz w:val="24"/>
              </w:rPr>
            </w:pPr>
            <w:r>
              <w:rPr>
                <w:rFonts w:hint="eastAsia" w:ascii="宋体" w:hAnsi="宋体" w:cs="宋体"/>
                <w:sz w:val="24"/>
              </w:rPr>
              <w:t xml:space="preserve">0.05%</w:t>
            </w:r>
            <w:r/>
          </w:p>
        </w:tc>
      </w:tr>
      <w:tr>
        <w:trPr>
          <w:jc w:val="center"/>
          <w:trHeight w:val="567"/>
        </w:trPr>
        <w:tc>
          <w:tcPr>
            <w:tcW w:w="5266" w:type="dxa"/>
            <w:vAlign w:val="center"/>
            <w:textDirection w:val="lrTb"/>
            <w:noWrap w:val="false"/>
          </w:tcPr>
          <w:p>
            <w:pPr>
              <w:jc w:val="center"/>
              <w:spacing w:line="400" w:lineRule="exact"/>
              <w:rPr>
                <w:rFonts w:ascii="宋体" w:hAnsi="宋体" w:cs="宋体"/>
                <w:sz w:val="24"/>
              </w:rPr>
            </w:pPr>
            <w:r>
              <w:rPr>
                <w:rFonts w:hint="eastAsia" w:ascii="宋体" w:hAnsi="宋体" w:cs="宋体"/>
                <w:sz w:val="24"/>
              </w:rPr>
              <w:t xml:space="preserve">10亿-50亿元（含50亿元）</w:t>
            </w:r>
            <w:r/>
          </w:p>
        </w:tc>
        <w:tc>
          <w:tcPr>
            <w:tcW w:w="2853" w:type="dxa"/>
            <w:vAlign w:val="center"/>
            <w:textDirection w:val="lrTb"/>
            <w:noWrap w:val="false"/>
          </w:tcPr>
          <w:p>
            <w:pPr>
              <w:jc w:val="center"/>
              <w:spacing w:line="400" w:lineRule="exact"/>
              <w:rPr>
                <w:rFonts w:ascii="宋体" w:hAnsi="宋体" w:cs="宋体"/>
                <w:sz w:val="24"/>
              </w:rPr>
            </w:pPr>
            <w:r>
              <w:rPr>
                <w:rFonts w:hint="eastAsia" w:ascii="宋体" w:hAnsi="宋体" w:cs="宋体"/>
                <w:sz w:val="24"/>
              </w:rPr>
              <w:t xml:space="preserve">0.01%</w:t>
            </w:r>
            <w:r/>
          </w:p>
        </w:tc>
      </w:tr>
      <w:tr>
        <w:trPr>
          <w:jc w:val="center"/>
          <w:trHeight w:val="567"/>
        </w:trPr>
        <w:tc>
          <w:tcPr>
            <w:tcW w:w="5266" w:type="dxa"/>
            <w:vAlign w:val="center"/>
            <w:textDirection w:val="lrTb"/>
            <w:noWrap w:val="false"/>
          </w:tcPr>
          <w:p>
            <w:pPr>
              <w:jc w:val="center"/>
              <w:spacing w:line="400" w:lineRule="exact"/>
              <w:rPr>
                <w:rFonts w:ascii="宋体" w:hAnsi="宋体" w:cs="宋体"/>
                <w:sz w:val="24"/>
              </w:rPr>
            </w:pPr>
            <w:r>
              <w:rPr>
                <w:rFonts w:hint="eastAsia" w:ascii="宋体" w:hAnsi="宋体" w:cs="宋体"/>
                <w:sz w:val="24"/>
              </w:rPr>
              <w:t xml:space="preserve">50亿元以上</w:t>
            </w:r>
            <w:r/>
          </w:p>
        </w:tc>
        <w:tc>
          <w:tcPr>
            <w:tcW w:w="2853" w:type="dxa"/>
            <w:vAlign w:val="center"/>
            <w:textDirection w:val="lrTb"/>
            <w:noWrap w:val="false"/>
          </w:tcPr>
          <w:p>
            <w:pPr>
              <w:jc w:val="center"/>
              <w:spacing w:line="400" w:lineRule="exact"/>
              <w:rPr>
                <w:rFonts w:ascii="宋体" w:hAnsi="宋体" w:cs="宋体"/>
                <w:sz w:val="24"/>
              </w:rPr>
            </w:pPr>
            <w:r>
              <w:rPr>
                <w:rFonts w:hint="eastAsia" w:ascii="宋体" w:hAnsi="宋体" w:cs="宋体"/>
                <w:sz w:val="24"/>
              </w:rPr>
              <w:t xml:space="preserve">0.005%</w:t>
            </w:r>
            <w:r/>
          </w:p>
        </w:tc>
      </w:tr>
    </w:tbl>
    <w:p>
      <w:pPr>
        <w:spacing w:line="276" w:lineRule="auto"/>
        <w:rPr>
          <w:rFonts w:ascii="宋体" w:hAnsi="宋体" w:cs="宋体"/>
          <w:b/>
          <w:sz w:val="24"/>
        </w:rPr>
        <w:pBdr>
          <w:top w:val="none" w:color="000000" w:sz="0" w:space="0"/>
          <w:left w:val="none" w:color="000000" w:sz="0" w:space="0"/>
          <w:bottom w:val="none" w:color="000000" w:sz="0" w:space="0"/>
          <w:right w:val="none" w:color="000000" w:sz="0" w:space="0"/>
        </w:pBdr>
      </w:pPr>
      <w:r>
        <w:rPr>
          <w:rFonts w:hint="eastAsia" w:ascii="宋体" w:hAnsi="宋体" w:cs="宋体"/>
          <w:b/>
          <w:sz w:val="24"/>
        </w:rPr>
        <w:t xml:space="preserve">说明：</w:t>
      </w:r>
      <w:r/>
    </w:p>
    <w:p>
      <w:pPr>
        <w:ind w:firstLine="720"/>
        <w:spacing w:line="400" w:lineRule="exact"/>
        <w:rPr>
          <w:rFonts w:ascii="宋体" w:hAnsi="宋体" w:cs="宋体"/>
          <w:sz w:val="24"/>
        </w:rPr>
      </w:pPr>
      <w:r>
        <w:rPr>
          <w:rFonts w:hint="eastAsia" w:ascii="宋体" w:hAnsi="宋体" w:cs="宋体"/>
          <w:sz w:val="24"/>
        </w:rPr>
        <w:t xml:space="preserve">1.按上表计算的收费为代理服务全过程的收费金额。各社会代理机构不再收取采购文件制作售卖费用。</w:t>
      </w:r>
      <w:r/>
    </w:p>
    <w:p>
      <w:pPr>
        <w:ind w:firstLine="720"/>
        <w:spacing w:line="400" w:lineRule="exact"/>
        <w:rPr>
          <w:rFonts w:ascii="宋体" w:hAnsi="宋体" w:cs="宋体"/>
          <w:sz w:val="24"/>
        </w:rPr>
      </w:pPr>
      <w:r>
        <w:rPr>
          <w:rFonts w:hint="eastAsia" w:ascii="宋体" w:hAnsi="宋体" w:cs="宋体"/>
          <w:sz w:val="24"/>
        </w:rPr>
        <w:t xml:space="preserve">2.代理服务费按差额定率累进法计算。</w:t>
      </w:r>
      <w:r/>
    </w:p>
    <w:p>
      <w:pPr>
        <w:ind w:firstLine="720"/>
        <w:spacing w:line="400" w:lineRule="exact"/>
        <w:rPr>
          <w:rFonts w:ascii="宋体" w:hAnsi="宋体" w:cs="宋体"/>
          <w:sz w:val="24"/>
        </w:rPr>
      </w:pPr>
      <w:r>
        <w:rPr>
          <w:rFonts w:hint="eastAsia" w:ascii="宋体" w:hAnsi="宋体" w:cs="宋体"/>
          <w:sz w:val="24"/>
        </w:rPr>
        <w:t xml:space="preserve">3.代理服务费基准金额（按差额定率累进法计算的）=中标金额（按差额定率累进法计算的） * 费率（%）。</w:t>
      </w:r>
      <w:r/>
    </w:p>
    <w:p>
      <w:pPr>
        <w:ind w:firstLine="720"/>
        <w:spacing w:line="400" w:lineRule="exact"/>
        <w:rPr>
          <w:rFonts w:ascii="宋体" w:hAnsi="宋体" w:cs="宋体"/>
          <w:sz w:val="24"/>
        </w:rPr>
      </w:pPr>
      <w:r>
        <w:rPr>
          <w:rFonts w:hint="eastAsia" w:ascii="宋体" w:hAnsi="宋体" w:cs="宋体"/>
          <w:sz w:val="24"/>
        </w:rPr>
        <w:t xml:space="preserve">4.代理服务费应收取金额=代理服务费基准金额（按差额定率累进法计算的）的合计数。</w:t>
      </w:r>
      <w:r/>
    </w:p>
    <w:p>
      <w:pPr>
        <w:ind w:firstLine="720"/>
        <w:spacing w:line="400" w:lineRule="exact"/>
        <w:rPr>
          <w:rFonts w:ascii="宋体" w:hAnsi="宋体" w:cs="宋体"/>
          <w:sz w:val="24"/>
        </w:rPr>
      </w:pPr>
      <w:r>
        <w:rPr>
          <w:rFonts w:hint="eastAsia" w:ascii="宋体" w:hAnsi="宋体" w:cs="宋体"/>
          <w:sz w:val="24"/>
        </w:rPr>
        <w:t xml:space="preserve">5.定点类等无金额或事先不能计算出价格总额的项目，按中标（成交）金额100万元计算服务费。</w:t>
      </w:r>
      <w:r/>
    </w:p>
    <w:p>
      <w:pPr>
        <w:ind w:firstLine="720"/>
        <w:spacing w:line="400" w:lineRule="exact"/>
        <w:rPr>
          <w:rFonts w:ascii="宋体" w:hAnsi="宋体" w:cs="宋体"/>
          <w:sz w:val="24"/>
        </w:rPr>
      </w:pPr>
      <w:r>
        <w:rPr>
          <w:rFonts w:hint="eastAsia" w:ascii="宋体" w:hAnsi="宋体" w:cs="宋体"/>
          <w:sz w:val="24"/>
        </w:rPr>
        <w:t xml:space="preserve">6.有分包（分标段）的以一个项目计算。</w:t>
      </w:r>
      <w:r/>
    </w:p>
    <w:p>
      <w:pPr>
        <w:ind w:firstLine="720"/>
        <w:spacing w:line="400" w:lineRule="exact"/>
        <w:rPr>
          <w:rFonts w:ascii="宋体" w:hAnsi="宋体" w:cs="宋体"/>
          <w:sz w:val="24"/>
        </w:rPr>
      </w:pPr>
      <w:r>
        <w:rPr>
          <w:rFonts w:hint="eastAsia" w:ascii="宋体" w:hAnsi="宋体" w:cs="宋体"/>
          <w:sz w:val="24"/>
        </w:rPr>
        <w:t xml:space="preserve">7.以上价格为协会指导价，双方可根据项目难易程度和优质优价原则协商确定。</w:t>
      </w:r>
      <w:r/>
    </w:p>
    <w:p>
      <w:pPr>
        <w:ind w:firstLine="720"/>
        <w:spacing w:line="400" w:lineRule="exact"/>
        <w:rPr>
          <w:rFonts w:ascii="宋体" w:hAnsi="宋体" w:cs="宋体"/>
          <w:sz w:val="24"/>
        </w:rPr>
      </w:pPr>
      <w:r>
        <w:rPr>
          <w:rFonts w:hint="eastAsia" w:ascii="宋体" w:hAnsi="宋体" w:cs="宋体"/>
          <w:sz w:val="24"/>
        </w:rPr>
        <w:t xml:space="preserve">8.账户信息：</w:t>
      </w:r>
      <w:r/>
    </w:p>
    <w:p>
      <w:pPr>
        <w:ind w:firstLine="964"/>
        <w:jc w:val="left"/>
        <w:spacing w:line="360" w:lineRule="auto"/>
        <w:rPr>
          <w:rFonts w:ascii="宋体" w:hAnsi="宋体" w:cs="宋体"/>
          <w:b/>
          <w:sz w:val="24"/>
        </w:rPr>
        <w:pBdr>
          <w:top w:val="none" w:color="000000" w:sz="0" w:space="0"/>
          <w:left w:val="none" w:color="000000" w:sz="0" w:space="0"/>
          <w:bottom w:val="none" w:color="000000" w:sz="0" w:space="0"/>
          <w:right w:val="none" w:color="000000" w:sz="0" w:space="0"/>
        </w:pBdr>
      </w:pPr>
      <w:r>
        <w:rPr>
          <w:rFonts w:hint="eastAsia" w:ascii="宋体" w:hAnsi="宋体" w:cs="宋体"/>
          <w:b/>
          <w:sz w:val="24"/>
        </w:rPr>
        <w:t xml:space="preserve">账户信息名称：江苏中瑞建设项目管理有限公司</w:t>
      </w:r>
      <w:r/>
    </w:p>
    <w:p>
      <w:pPr>
        <w:ind w:firstLine="964"/>
        <w:jc w:val="left"/>
        <w:spacing w:line="360" w:lineRule="auto"/>
        <w:rPr>
          <w:rFonts w:ascii="宋体" w:hAnsi="宋体" w:cs="宋体"/>
          <w:b/>
          <w:sz w:val="24"/>
        </w:rPr>
        <w:pBdr>
          <w:top w:val="none" w:color="000000" w:sz="0" w:space="0"/>
          <w:left w:val="none" w:color="000000" w:sz="0" w:space="0"/>
          <w:bottom w:val="none" w:color="000000" w:sz="0" w:space="0"/>
          <w:right w:val="none" w:color="000000" w:sz="0" w:space="0"/>
        </w:pBdr>
      </w:pPr>
      <w:r>
        <w:rPr>
          <w:rFonts w:hint="eastAsia" w:ascii="宋体" w:hAnsi="宋体" w:cs="宋体"/>
          <w:b/>
          <w:sz w:val="24"/>
        </w:rPr>
        <w:t xml:space="preserve">开户行：中国建设银行徐州永安支行</w:t>
      </w:r>
      <w:r/>
    </w:p>
    <w:p>
      <w:pPr>
        <w:ind w:firstLine="964"/>
        <w:jc w:val="left"/>
        <w:spacing w:line="360" w:lineRule="auto"/>
        <w:rPr>
          <w:rFonts w:ascii="宋体" w:hAnsi="宋体" w:cs="宋体"/>
          <w:b/>
          <w:sz w:val="24"/>
        </w:rPr>
        <w:pBdr>
          <w:top w:val="none" w:color="000000" w:sz="0" w:space="0"/>
          <w:left w:val="none" w:color="000000" w:sz="0" w:space="0"/>
          <w:bottom w:val="none" w:color="000000" w:sz="0" w:space="0"/>
          <w:right w:val="none" w:color="000000" w:sz="0" w:space="0"/>
        </w:pBdr>
      </w:pPr>
      <w:r>
        <w:rPr>
          <w:rFonts w:hint="eastAsia" w:ascii="宋体" w:hAnsi="宋体" w:cs="宋体"/>
          <w:b/>
          <w:sz w:val="24"/>
        </w:rPr>
        <w:t xml:space="preserve">银行账号：32001718336052501620</w:t>
      </w:r>
      <w:r/>
    </w:p>
    <w:p>
      <w:pPr>
        <w:rPr>
          <w:rFonts w:ascii="宋体" w:hAnsi="宋体" w:cs="宋体"/>
          <w:b/>
          <w:sz w:val="30"/>
        </w:rPr>
      </w:pPr>
      <w:r>
        <w:rPr>
          <w:rFonts w:ascii="宋体" w:hAnsi="宋体" w:cs="宋体"/>
          <w:b/>
          <w:sz w:val="30"/>
        </w:rPr>
      </w:r>
      <w:r/>
    </w:p>
    <w:p>
      <w:pPr>
        <w:jc w:val="center"/>
        <w:spacing w:line="360" w:lineRule="auto"/>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b/>
          <w:sz w:val="30"/>
        </w:rPr>
        <w:t xml:space="preserve">第四章 评标标准</w:t>
      </w:r>
      <w:r/>
    </w:p>
    <w:tbl>
      <w:tblPr>
        <w:tblStyle w:val="802"/>
        <w:tblW w:w="931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720"/>
        <w:gridCol w:w="7590"/>
      </w:tblGrid>
      <w:tr>
        <w:trPr>
          <w:jc w:val="center"/>
          <w:trHeight w:val="454"/>
        </w:trPr>
        <w:tc>
          <w:tcPr>
            <w:tcW w:w="1720" w:type="dxa"/>
            <w:vAlign w:val="center"/>
            <w:textDirection w:val="lrTb"/>
            <w:noWrap w:val="false"/>
          </w:tcPr>
          <w:p>
            <w:pPr>
              <w:jc w:val="center"/>
              <w:rPr>
                <w:rFonts w:ascii="宋体" w:hAnsi="宋体" w:cs="宋体"/>
                <w:b/>
                <w:bCs/>
                <w:color w:val="auto"/>
                <w:sz w:val="24"/>
              </w:rPr>
            </w:pPr>
            <w:r>
              <w:rPr>
                <w:rFonts w:hint="eastAsia" w:ascii="宋体" w:hAnsi="宋体" w:cs="宋体"/>
                <w:b/>
                <w:bCs/>
                <w:color w:val="auto"/>
                <w:sz w:val="24"/>
              </w:rPr>
              <w:t xml:space="preserve">评分内容</w:t>
            </w:r>
            <w:r/>
          </w:p>
        </w:tc>
        <w:tc>
          <w:tcPr>
            <w:tcW w:w="7590" w:type="dxa"/>
            <w:vAlign w:val="center"/>
            <w:textDirection w:val="lrTb"/>
            <w:noWrap w:val="false"/>
          </w:tcPr>
          <w:p>
            <w:pPr>
              <w:jc w:val="center"/>
              <w:rPr>
                <w:rFonts w:ascii="宋体" w:hAnsi="宋体" w:cs="宋体"/>
                <w:b/>
                <w:bCs/>
                <w:color w:val="auto"/>
                <w:sz w:val="24"/>
              </w:rPr>
            </w:pPr>
            <w:r>
              <w:rPr>
                <w:rFonts w:hint="eastAsia" w:ascii="宋体" w:hAnsi="宋体" w:cs="宋体"/>
                <w:b/>
                <w:bCs/>
                <w:color w:val="auto"/>
                <w:sz w:val="24"/>
              </w:rPr>
              <w:t xml:space="preserve">评分细则</w:t>
            </w:r>
            <w:r/>
          </w:p>
        </w:tc>
      </w:tr>
      <w:tr>
        <w:trPr>
          <w:jc w:val="center"/>
          <w:trHeight w:val="90"/>
        </w:trPr>
        <w:tc>
          <w:tcPr>
            <w:tcW w:w="1720" w:type="dxa"/>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投标报价（30分）</w:t>
            </w:r>
            <w:r/>
          </w:p>
        </w:tc>
        <w:tc>
          <w:tcPr>
            <w:tcW w:w="7590" w:type="dxa"/>
            <w:vAlign w:val="center"/>
            <w:textDirection w:val="lrTb"/>
            <w:noWrap w:val="false"/>
          </w:tcPr>
          <w:p>
            <w:pPr>
              <w:rPr>
                <w:color w:val="auto"/>
              </w:rPr>
            </w:pPr>
            <w:r>
              <w:rPr>
                <w:rFonts w:hint="eastAsia" w:ascii="宋体" w:hAnsi="宋体" w:cs="宋体"/>
                <w:color w:val="auto"/>
                <w:sz w:val="24"/>
              </w:rPr>
              <w:t xml:space="preserve">各投标人价格得分=最低报价（投标人的最低评审价格）÷各投标人评审价格×30；（分值计算结果保留两位小数）</w:t>
            </w:r>
            <w:r/>
          </w:p>
        </w:tc>
      </w:tr>
      <w:tr>
        <w:trPr>
          <w:jc w:val="center"/>
          <w:trHeight w:val="1580"/>
        </w:trPr>
        <w:tc>
          <w:tcPr>
            <w:tcW w:w="1720" w:type="dxa"/>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技术参数说明（</w:t>
            </w:r>
            <w:r>
              <w:rPr>
                <w:rFonts w:hint="eastAsia" w:ascii="宋体" w:hAnsi="宋体" w:cs="宋体"/>
                <w:color w:val="auto"/>
                <w:sz w:val="24"/>
                <w:lang w:val="en-US" w:eastAsia="zh-CN"/>
              </w:rPr>
              <w:t xml:space="preserve">20</w:t>
            </w:r>
            <w:r>
              <w:rPr>
                <w:rFonts w:hint="eastAsia" w:ascii="宋体" w:hAnsi="宋体" w:cs="宋体"/>
                <w:color w:val="auto"/>
                <w:sz w:val="24"/>
              </w:rPr>
              <w:t xml:space="preserve">分）</w:t>
            </w:r>
            <w:r/>
          </w:p>
        </w:tc>
        <w:tc>
          <w:tcPr>
            <w:tcW w:w="7590" w:type="dxa"/>
            <w:vAlign w:val="center"/>
            <w:textDirection w:val="lrTb"/>
            <w:noWrap w:val="false"/>
          </w:tcPr>
          <w:p>
            <w:pPr>
              <w:rPr>
                <w:rFonts w:ascii="宋体" w:hAnsi="宋体" w:cs="宋体"/>
                <w:color w:val="auto"/>
                <w:sz w:val="24"/>
              </w:rPr>
            </w:pPr>
            <w:r>
              <w:rPr>
                <w:rFonts w:hint="eastAsia" w:ascii="宋体" w:hAnsi="宋体" w:cs="宋体"/>
                <w:color w:val="auto"/>
                <w:sz w:val="24"/>
              </w:rPr>
              <w:t xml:space="preserve">依据投标文件中偏离表、技术规格说明对招标文件《第六章 采购需求》“技术参数要求”满足程度进行评价。</w:t>
            </w:r>
            <w:r/>
          </w:p>
          <w:p>
            <w:pPr>
              <w:pStyle w:val="874"/>
              <w:rPr>
                <w:rFonts w:ascii="宋体" w:hAnsi="宋体" w:cs="宋体"/>
                <w:color w:val="auto"/>
                <w:sz w:val="24"/>
              </w:rPr>
            </w:pPr>
            <w:r>
              <w:rPr>
                <w:rFonts w:hint="eastAsia" w:ascii="宋体" w:hAnsi="宋体" w:cs="宋体"/>
                <w:color w:val="auto"/>
                <w:sz w:val="24"/>
              </w:rPr>
              <w:t xml:space="preserve">加“</w:t>
            </w:r>
            <w:r>
              <w:rPr>
                <w:rFonts w:hint="eastAsia" w:ascii="宋体" w:hAnsi="宋体" w:cs="宋体"/>
                <w:color w:val="auto"/>
              </w:rPr>
              <w:t xml:space="preserve">▲</w:t>
            </w:r>
            <w:r>
              <w:rPr>
                <w:rFonts w:hint="eastAsia" w:ascii="宋体" w:hAnsi="宋体" w:cs="宋体"/>
                <w:color w:val="auto"/>
                <w:sz w:val="24"/>
              </w:rPr>
              <w:t xml:space="preserve">”为次重要响应指标，每偏离一项扣2分；其他未标注参数，每偏离一项扣1分，扣完为止；本项最高得</w:t>
            </w:r>
            <w:r>
              <w:rPr>
                <w:rFonts w:hint="eastAsia" w:ascii="宋体" w:hAnsi="宋体" w:cs="宋体"/>
                <w:color w:val="auto"/>
                <w:sz w:val="24"/>
                <w:lang w:val="en-US" w:eastAsia="zh-CN"/>
              </w:rPr>
              <w:t xml:space="preserve">20</w:t>
            </w:r>
            <w:r>
              <w:rPr>
                <w:rFonts w:hint="eastAsia" w:ascii="宋体" w:hAnsi="宋体" w:cs="宋体"/>
                <w:color w:val="auto"/>
                <w:sz w:val="24"/>
              </w:rPr>
              <w:t xml:space="preserve">分，最低得0分。</w:t>
            </w:r>
            <w:r/>
          </w:p>
        </w:tc>
      </w:tr>
      <w:tr>
        <w:trPr>
          <w:jc w:val="center"/>
          <w:trHeight w:val="1580"/>
        </w:trPr>
        <w:tc>
          <w:tcPr>
            <w:tcW w:w="1720" w:type="dxa"/>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免费质保期承诺（</w:t>
            </w:r>
            <w:r>
              <w:rPr>
                <w:rFonts w:ascii="宋体" w:hAnsi="宋体" w:cs="宋体"/>
                <w:color w:val="auto"/>
                <w:sz w:val="24"/>
              </w:rPr>
              <w:t xml:space="preserve">5</w:t>
            </w:r>
            <w:r>
              <w:rPr>
                <w:rFonts w:hint="eastAsia" w:ascii="宋体" w:hAnsi="宋体" w:cs="宋体"/>
                <w:color w:val="auto"/>
                <w:sz w:val="24"/>
              </w:rPr>
              <w:t xml:space="preserve">分）</w:t>
            </w:r>
            <w:r/>
          </w:p>
        </w:tc>
        <w:tc>
          <w:tcPr>
            <w:tcW w:w="7590" w:type="dxa"/>
            <w:vAlign w:val="center"/>
            <w:textDirection w:val="lrTb"/>
            <w:noWrap w:val="false"/>
          </w:tcPr>
          <w:p>
            <w:pPr>
              <w:pStyle w:val="874"/>
              <w:rPr>
                <w:rFonts w:ascii="宋体" w:hAnsi="宋体" w:cs="宋体"/>
                <w:color w:val="auto"/>
                <w:sz w:val="24"/>
              </w:rPr>
            </w:pPr>
            <w:r>
              <w:rPr>
                <w:rFonts w:hint="eastAsia" w:ascii="宋体" w:hAnsi="宋体" w:cs="宋体"/>
                <w:color w:val="auto"/>
                <w:sz w:val="24"/>
              </w:rPr>
              <w:t xml:space="preserve">本项目所采购产品免费质保期</w:t>
            </w:r>
            <w:r>
              <w:rPr>
                <w:rFonts w:hint="eastAsia" w:ascii="宋体" w:hAnsi="宋体" w:cs="宋体"/>
                <w:color w:val="auto"/>
                <w:sz w:val="24"/>
                <w:lang w:val="en-US" w:eastAsia="zh-CN"/>
              </w:rPr>
              <w:t xml:space="preserve">壹</w:t>
            </w:r>
            <w:r>
              <w:rPr>
                <w:rFonts w:hint="eastAsia" w:ascii="宋体" w:hAnsi="宋体" w:cs="宋体"/>
                <w:color w:val="auto"/>
                <w:sz w:val="24"/>
              </w:rPr>
              <w:t xml:space="preserve">年不得分，每增加一年得</w:t>
            </w:r>
            <w:r>
              <w:rPr>
                <w:rFonts w:ascii="宋体" w:hAnsi="宋体" w:cs="宋体"/>
                <w:color w:val="auto"/>
                <w:sz w:val="24"/>
              </w:rPr>
              <w:t xml:space="preserve">1</w:t>
            </w:r>
            <w:r>
              <w:rPr>
                <w:rFonts w:hint="eastAsia" w:ascii="宋体" w:hAnsi="宋体" w:cs="宋体"/>
                <w:color w:val="auto"/>
                <w:sz w:val="24"/>
              </w:rPr>
              <w:t xml:space="preserve">分，本项最高</w:t>
            </w:r>
            <w:r>
              <w:rPr>
                <w:rFonts w:ascii="宋体" w:hAnsi="宋体" w:cs="宋体"/>
                <w:color w:val="auto"/>
                <w:sz w:val="24"/>
              </w:rPr>
              <w:t xml:space="preserve">5</w:t>
            </w:r>
            <w:r>
              <w:rPr>
                <w:rFonts w:hint="eastAsia" w:ascii="宋体" w:hAnsi="宋体" w:cs="宋体"/>
                <w:color w:val="auto"/>
                <w:sz w:val="24"/>
              </w:rPr>
              <w:t xml:space="preserve">分，最低得0分。</w:t>
            </w:r>
            <w:r/>
          </w:p>
          <w:p>
            <w:pPr>
              <w:pStyle w:val="874"/>
              <w:rPr>
                <w:rFonts w:ascii="宋体" w:hAnsi="宋体" w:cs="宋体"/>
                <w:color w:val="auto"/>
                <w:sz w:val="24"/>
              </w:rPr>
            </w:pPr>
            <w:r>
              <w:rPr>
                <w:rFonts w:hint="eastAsia" w:ascii="宋体" w:hAnsi="宋体" w:cs="宋体"/>
                <w:color w:val="auto"/>
                <w:sz w:val="24"/>
              </w:rPr>
              <w:t xml:space="preserve">投标文件中提供投标人对本项目免费质保期限的承诺函扫描件加盖投标人公章，格式自拟。</w:t>
            </w:r>
            <w:r/>
          </w:p>
        </w:tc>
      </w:tr>
      <w:tr>
        <w:trPr>
          <w:jc w:val="center"/>
          <w:trHeight w:val="1580"/>
        </w:trPr>
        <w:tc>
          <w:tcPr>
            <w:tcW w:w="1720" w:type="dxa"/>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所投产品性能与质量评价（1</w:t>
            </w:r>
            <w:r>
              <w:rPr>
                <w:rFonts w:hint="eastAsia" w:ascii="宋体" w:hAnsi="宋体" w:cs="宋体"/>
                <w:color w:val="auto"/>
                <w:sz w:val="24"/>
                <w:lang w:val="en-US" w:eastAsia="zh-CN"/>
              </w:rPr>
              <w:t xml:space="preserve">5</w:t>
            </w:r>
            <w:r>
              <w:rPr>
                <w:rFonts w:hint="eastAsia" w:ascii="宋体" w:hAnsi="宋体" w:cs="宋体"/>
                <w:color w:val="auto"/>
                <w:sz w:val="24"/>
              </w:rPr>
              <w:t xml:space="preserve">分）</w:t>
            </w:r>
            <w:r/>
          </w:p>
        </w:tc>
        <w:tc>
          <w:tcPr>
            <w:tcW w:w="7590" w:type="dxa"/>
            <w:vAlign w:val="center"/>
            <w:textDirection w:val="lrTb"/>
            <w:noWrap w:val="false"/>
          </w:tcPr>
          <w:p>
            <w:pPr>
              <w:rPr>
                <w:rFonts w:ascii="宋体" w:hAnsi="宋体" w:cs="宋体"/>
                <w:color w:val="auto"/>
                <w:sz w:val="24"/>
              </w:rPr>
            </w:pPr>
            <w:r>
              <w:rPr>
                <w:rFonts w:hint="eastAsia" w:ascii="宋体" w:hAnsi="宋体" w:cs="宋体"/>
                <w:color w:val="auto"/>
                <w:sz w:val="24"/>
              </w:rPr>
              <w:t xml:space="preserve">根据投标人投标文件中提供的偏离表内容以及所投产品的产品手册、产品实样照片、配置清单等，对产品性能稳定性、质量可靠性、技术先进性、配置合理性等方面进行评价。</w:t>
            </w:r>
            <w:r/>
          </w:p>
          <w:p>
            <w:pPr>
              <w:rPr>
                <w:rFonts w:ascii="宋体" w:hAnsi="宋体" w:cs="宋体"/>
                <w:color w:val="auto"/>
                <w:sz w:val="24"/>
              </w:rPr>
            </w:pPr>
            <w:r>
              <w:rPr>
                <w:rFonts w:hint="eastAsia" w:ascii="宋体" w:hAnsi="宋体" w:cs="宋体"/>
                <w:color w:val="auto"/>
                <w:sz w:val="24"/>
              </w:rPr>
              <w:t xml:space="preserve">1.性能稳定性和设备配置（</w:t>
            </w:r>
            <w:r>
              <w:rPr>
                <w:rFonts w:hint="eastAsia" w:ascii="宋体" w:hAnsi="宋体" w:cs="宋体"/>
                <w:color w:val="auto"/>
                <w:sz w:val="24"/>
                <w:lang w:val="en-US" w:eastAsia="zh-CN"/>
              </w:rPr>
              <w:t xml:space="preserve">5</w:t>
            </w:r>
            <w:r>
              <w:rPr>
                <w:rFonts w:hint="eastAsia" w:ascii="宋体" w:hAnsi="宋体" w:cs="宋体"/>
                <w:color w:val="auto"/>
                <w:sz w:val="24"/>
              </w:rPr>
              <w:t xml:space="preserve">分）：性能稳定性高、配置合理的得</w:t>
            </w:r>
            <w:r>
              <w:rPr>
                <w:rFonts w:hint="eastAsia" w:ascii="宋体" w:hAnsi="宋体" w:cs="宋体"/>
                <w:color w:val="auto"/>
                <w:sz w:val="24"/>
                <w:lang w:val="en-US" w:eastAsia="zh-CN"/>
              </w:rPr>
              <w:t xml:space="preserve">5</w:t>
            </w:r>
            <w:r>
              <w:rPr>
                <w:rFonts w:hint="eastAsia" w:ascii="宋体" w:hAnsi="宋体" w:cs="宋体"/>
                <w:color w:val="auto"/>
                <w:sz w:val="24"/>
              </w:rPr>
              <w:t xml:space="preserve">分；性能稳定性较高、配置较合理的得</w:t>
            </w:r>
            <w:r>
              <w:rPr>
                <w:rFonts w:hint="eastAsia" w:ascii="宋体" w:hAnsi="宋体" w:cs="宋体"/>
                <w:color w:val="auto"/>
                <w:sz w:val="24"/>
                <w:lang w:val="en-US" w:eastAsia="zh-CN"/>
              </w:rPr>
              <w:t xml:space="preserve">3</w:t>
            </w:r>
            <w:r>
              <w:rPr>
                <w:rFonts w:hint="eastAsia" w:ascii="宋体" w:hAnsi="宋体" w:cs="宋体"/>
                <w:color w:val="auto"/>
                <w:sz w:val="24"/>
              </w:rPr>
              <w:t xml:space="preserve">分；性能稳定性和配置一般的得</w:t>
            </w:r>
            <w:r>
              <w:rPr>
                <w:rFonts w:hint="eastAsia" w:ascii="宋体" w:hAnsi="宋体" w:cs="宋体"/>
                <w:color w:val="auto"/>
                <w:sz w:val="24"/>
                <w:lang w:val="en-US" w:eastAsia="zh-CN"/>
              </w:rPr>
              <w:t xml:space="preserve">2</w:t>
            </w:r>
            <w:r>
              <w:rPr>
                <w:rFonts w:hint="eastAsia" w:ascii="宋体" w:hAnsi="宋体" w:cs="宋体"/>
                <w:color w:val="auto"/>
                <w:sz w:val="24"/>
              </w:rPr>
              <w:t xml:space="preserve">分；性能稳定性和配置较差的得</w:t>
            </w:r>
            <w:r>
              <w:rPr>
                <w:rFonts w:hint="eastAsia" w:ascii="宋体" w:hAnsi="宋体" w:cs="宋体"/>
                <w:color w:val="auto"/>
                <w:sz w:val="24"/>
                <w:lang w:val="en-US" w:eastAsia="zh-CN"/>
              </w:rPr>
              <w:t xml:space="preserve">1</w:t>
            </w:r>
            <w:r>
              <w:rPr>
                <w:rFonts w:hint="eastAsia" w:ascii="宋体" w:hAnsi="宋体" w:cs="宋体"/>
                <w:color w:val="auto"/>
                <w:sz w:val="24"/>
              </w:rPr>
              <w:t xml:space="preserve">分；</w:t>
            </w:r>
            <w:r/>
          </w:p>
          <w:p>
            <w:pPr>
              <w:rPr>
                <w:rFonts w:ascii="宋体" w:hAnsi="宋体" w:cs="宋体"/>
                <w:color w:val="auto"/>
                <w:sz w:val="24"/>
              </w:rPr>
            </w:pPr>
            <w:r>
              <w:rPr>
                <w:rFonts w:hint="eastAsia" w:ascii="宋体" w:hAnsi="宋体" w:cs="宋体"/>
                <w:color w:val="auto"/>
                <w:sz w:val="24"/>
              </w:rPr>
              <w:t xml:space="preserve">2.质量可靠性（</w:t>
            </w:r>
            <w:r>
              <w:rPr>
                <w:rFonts w:hint="eastAsia" w:ascii="宋体" w:hAnsi="宋体" w:cs="宋体"/>
                <w:color w:val="auto"/>
                <w:sz w:val="24"/>
                <w:lang w:val="en-US" w:eastAsia="zh-CN"/>
              </w:rPr>
              <w:t xml:space="preserve">5</w:t>
            </w:r>
            <w:r>
              <w:rPr>
                <w:rFonts w:hint="eastAsia" w:ascii="宋体" w:hAnsi="宋体" w:cs="宋体"/>
                <w:color w:val="auto"/>
                <w:sz w:val="24"/>
              </w:rPr>
              <w:t xml:space="preserve">分）：质量可靠性高的得</w:t>
            </w:r>
            <w:r>
              <w:rPr>
                <w:rFonts w:hint="eastAsia" w:ascii="宋体" w:hAnsi="宋体" w:cs="宋体"/>
                <w:color w:val="auto"/>
                <w:sz w:val="24"/>
                <w:lang w:val="en-US" w:eastAsia="zh-CN"/>
              </w:rPr>
              <w:t xml:space="preserve">5</w:t>
            </w:r>
            <w:r>
              <w:rPr>
                <w:rFonts w:hint="eastAsia" w:ascii="宋体" w:hAnsi="宋体" w:cs="宋体"/>
                <w:color w:val="auto"/>
                <w:sz w:val="24"/>
              </w:rPr>
              <w:t xml:space="preserve">分；产品质量可靠性较高的得</w:t>
            </w:r>
            <w:r>
              <w:rPr>
                <w:rFonts w:hint="eastAsia" w:ascii="宋体" w:hAnsi="宋体" w:cs="宋体"/>
                <w:color w:val="auto"/>
                <w:sz w:val="24"/>
                <w:lang w:val="en-US" w:eastAsia="zh-CN"/>
              </w:rPr>
              <w:t xml:space="preserve">3</w:t>
            </w:r>
            <w:r>
              <w:rPr>
                <w:rFonts w:hint="eastAsia" w:ascii="宋体" w:hAnsi="宋体" w:cs="宋体"/>
                <w:color w:val="auto"/>
                <w:sz w:val="24"/>
              </w:rPr>
              <w:t xml:space="preserve">分；质量可靠性程度一般的得</w:t>
            </w:r>
            <w:r>
              <w:rPr>
                <w:rFonts w:hint="eastAsia" w:ascii="宋体" w:hAnsi="宋体" w:cs="宋体"/>
                <w:color w:val="auto"/>
                <w:sz w:val="24"/>
                <w:lang w:val="en-US" w:eastAsia="zh-CN"/>
              </w:rPr>
              <w:t xml:space="preserve">2</w:t>
            </w:r>
            <w:r>
              <w:rPr>
                <w:rFonts w:hint="eastAsia" w:ascii="宋体" w:hAnsi="宋体" w:cs="宋体"/>
                <w:color w:val="auto"/>
                <w:sz w:val="24"/>
              </w:rPr>
              <w:t xml:space="preserve">分；质量可靠性程度较差的得</w:t>
            </w:r>
            <w:r>
              <w:rPr>
                <w:rFonts w:hint="eastAsia" w:ascii="宋体" w:hAnsi="宋体" w:cs="宋体"/>
                <w:color w:val="auto"/>
                <w:sz w:val="24"/>
                <w:lang w:val="en-US" w:eastAsia="zh-CN"/>
              </w:rPr>
              <w:t xml:space="preserve">1</w:t>
            </w:r>
            <w:r>
              <w:rPr>
                <w:rFonts w:hint="eastAsia" w:ascii="宋体" w:hAnsi="宋体" w:cs="宋体"/>
                <w:color w:val="auto"/>
                <w:sz w:val="24"/>
              </w:rPr>
              <w:t xml:space="preserve">分；</w:t>
            </w:r>
            <w:r/>
          </w:p>
          <w:p>
            <w:pPr>
              <w:rPr>
                <w:rFonts w:ascii="宋体" w:hAnsi="宋体" w:cs="宋体"/>
                <w:color w:val="auto"/>
                <w:sz w:val="24"/>
              </w:rPr>
            </w:pPr>
            <w:r>
              <w:rPr>
                <w:rFonts w:hint="eastAsia" w:ascii="宋体" w:hAnsi="宋体" w:cs="宋体"/>
                <w:color w:val="auto"/>
                <w:sz w:val="24"/>
              </w:rPr>
              <w:t xml:space="preserve">3.技术先进性（</w:t>
            </w:r>
            <w:r>
              <w:rPr>
                <w:rFonts w:hint="eastAsia" w:ascii="宋体" w:hAnsi="宋体" w:cs="宋体"/>
                <w:color w:val="auto"/>
                <w:sz w:val="24"/>
                <w:lang w:val="en-US" w:eastAsia="zh-CN"/>
              </w:rPr>
              <w:t xml:space="preserve">5</w:t>
            </w:r>
            <w:r>
              <w:rPr>
                <w:rFonts w:hint="eastAsia" w:ascii="宋体" w:hAnsi="宋体" w:cs="宋体"/>
                <w:color w:val="auto"/>
                <w:sz w:val="24"/>
              </w:rPr>
              <w:t xml:space="preserve">分）：技术先进的得</w:t>
            </w:r>
            <w:r>
              <w:rPr>
                <w:rFonts w:hint="eastAsia" w:ascii="宋体" w:hAnsi="宋体" w:cs="宋体"/>
                <w:color w:val="auto"/>
                <w:sz w:val="24"/>
                <w:lang w:val="en-US" w:eastAsia="zh-CN"/>
              </w:rPr>
              <w:t xml:space="preserve">5</w:t>
            </w:r>
            <w:r>
              <w:rPr>
                <w:rFonts w:hint="eastAsia" w:ascii="宋体" w:hAnsi="宋体" w:cs="宋体"/>
                <w:color w:val="auto"/>
                <w:sz w:val="24"/>
              </w:rPr>
              <w:t xml:space="preserve">分；技术一般的得</w:t>
            </w:r>
            <w:r>
              <w:rPr>
                <w:rFonts w:hint="eastAsia" w:ascii="宋体" w:hAnsi="宋体" w:cs="宋体"/>
                <w:color w:val="auto"/>
                <w:sz w:val="24"/>
                <w:lang w:val="en-US" w:eastAsia="zh-CN"/>
              </w:rPr>
              <w:t xml:space="preserve">3</w:t>
            </w:r>
            <w:r>
              <w:rPr>
                <w:rFonts w:hint="eastAsia" w:ascii="宋体" w:hAnsi="宋体" w:cs="宋体"/>
                <w:color w:val="auto"/>
                <w:sz w:val="24"/>
              </w:rPr>
              <w:t xml:space="preserve">分；技术落后的得1分；</w:t>
            </w:r>
            <w:r/>
          </w:p>
          <w:p>
            <w:pPr>
              <w:rPr>
                <w:rFonts w:ascii="宋体" w:hAnsi="宋体" w:cs="宋体"/>
                <w:color w:val="auto"/>
                <w:sz w:val="24"/>
              </w:rPr>
            </w:pPr>
            <w:r>
              <w:rPr>
                <w:rFonts w:hint="eastAsia" w:ascii="宋体" w:hAnsi="宋体" w:cs="宋体"/>
                <w:color w:val="auto"/>
                <w:sz w:val="24"/>
              </w:rPr>
              <w:t xml:space="preserve">本项最高得</w:t>
            </w:r>
            <w:r>
              <w:rPr>
                <w:rFonts w:ascii="宋体" w:hAnsi="宋体" w:cs="宋体"/>
                <w:color w:val="auto"/>
                <w:sz w:val="24"/>
              </w:rPr>
              <w:t xml:space="preserve">1</w:t>
            </w:r>
            <w:r>
              <w:rPr>
                <w:rFonts w:hint="eastAsia" w:ascii="宋体" w:hAnsi="宋体" w:cs="宋体"/>
                <w:color w:val="auto"/>
                <w:sz w:val="24"/>
                <w:lang w:val="en-US" w:eastAsia="zh-CN"/>
              </w:rPr>
              <w:t xml:space="preserve">5</w:t>
            </w:r>
            <w:r>
              <w:rPr>
                <w:rFonts w:hint="eastAsia" w:ascii="宋体" w:hAnsi="宋体" w:cs="宋体"/>
                <w:color w:val="auto"/>
                <w:sz w:val="24"/>
              </w:rPr>
              <w:t xml:space="preserve">分，最低得0分。</w:t>
            </w:r>
            <w:r/>
          </w:p>
        </w:tc>
      </w:tr>
      <w:tr>
        <w:trPr>
          <w:jc w:val="center"/>
          <w:trHeight w:val="90"/>
        </w:trPr>
        <w:tc>
          <w:tcPr>
            <w:tcW w:w="1720" w:type="dxa"/>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项目实施方案（15分）</w:t>
            </w:r>
            <w:r/>
          </w:p>
        </w:tc>
        <w:tc>
          <w:tcPr>
            <w:tcW w:w="7590" w:type="dxa"/>
            <w:vAlign w:val="center"/>
            <w:textDirection w:val="lrTb"/>
            <w:noWrap w:val="false"/>
          </w:tcPr>
          <w:p>
            <w:pPr>
              <w:rPr>
                <w:rFonts w:ascii="宋体" w:hAnsi="宋体" w:cs="宋体"/>
                <w:color w:val="auto"/>
                <w:sz w:val="24"/>
              </w:rPr>
            </w:pPr>
            <w:r>
              <w:rPr>
                <w:rFonts w:hint="eastAsia" w:ascii="宋体" w:hAnsi="宋体" w:cs="宋体"/>
                <w:color w:val="auto"/>
                <w:sz w:val="24"/>
              </w:rPr>
              <w:t xml:space="preserve">根据投标人投标文件中提供的项目实施方案，内容包含但不限于质量保障措施、实施人员配备、配送计划、实施组织计划、进度计划、安装调试等，对内容的全面性、针对性、可行性进行评价。</w:t>
            </w:r>
            <w:r/>
          </w:p>
          <w:p>
            <w:pPr>
              <w:rPr>
                <w:rFonts w:ascii="宋体" w:hAnsi="宋体" w:cs="宋体"/>
                <w:color w:val="auto"/>
                <w:sz w:val="24"/>
              </w:rPr>
            </w:pPr>
            <w:r>
              <w:rPr>
                <w:rFonts w:hint="eastAsia" w:ascii="宋体" w:hAnsi="宋体" w:cs="宋体"/>
                <w:color w:val="auto"/>
                <w:sz w:val="24"/>
              </w:rPr>
              <w:t xml:space="preserve">1.全面性（5分）：全面具体详实得5分；较全面得3分；基本具备的得2分；不太全面得1分。</w:t>
            </w:r>
            <w:r/>
          </w:p>
          <w:p>
            <w:pPr>
              <w:rPr>
                <w:rFonts w:ascii="宋体" w:hAnsi="宋体" w:cs="宋体"/>
                <w:color w:val="auto"/>
                <w:sz w:val="24"/>
              </w:rPr>
            </w:pPr>
            <w:r>
              <w:rPr>
                <w:rFonts w:hint="eastAsia" w:ascii="宋体" w:hAnsi="宋体" w:cs="宋体"/>
                <w:color w:val="auto"/>
                <w:sz w:val="24"/>
              </w:rPr>
              <w:t xml:space="preserve">2.针对性（5分）：针对性强得5分；针对性较强得3分；针对性不强得1分。</w:t>
            </w:r>
            <w:r/>
          </w:p>
          <w:p>
            <w:pPr>
              <w:rPr>
                <w:rFonts w:ascii="宋体" w:hAnsi="宋体" w:cs="宋体"/>
                <w:color w:val="auto"/>
                <w:sz w:val="24"/>
              </w:rPr>
            </w:pPr>
            <w:r>
              <w:rPr>
                <w:rFonts w:hint="eastAsia" w:ascii="宋体" w:hAnsi="宋体" w:cs="宋体"/>
                <w:color w:val="auto"/>
                <w:sz w:val="24"/>
              </w:rPr>
              <w:t xml:space="preserve">3.可行性（5分）：符合实际切实可行得5分；较切实可行得3分；可行性欠缺得1分；</w:t>
            </w:r>
            <w:r/>
          </w:p>
          <w:p>
            <w:pPr>
              <w:rPr>
                <w:rFonts w:ascii="宋体" w:hAnsi="宋体" w:cs="宋体"/>
                <w:color w:val="auto"/>
                <w:sz w:val="24"/>
              </w:rPr>
            </w:pPr>
            <w:r>
              <w:rPr>
                <w:rFonts w:hint="eastAsia" w:ascii="宋体" w:hAnsi="宋体" w:cs="宋体"/>
                <w:color w:val="auto"/>
                <w:sz w:val="24"/>
              </w:rPr>
              <w:t xml:space="preserve">本项最高得15分，未提供的得0分。</w:t>
            </w:r>
            <w:r/>
          </w:p>
        </w:tc>
      </w:tr>
      <w:tr>
        <w:trPr>
          <w:jc w:val="center"/>
          <w:trHeight w:val="719"/>
        </w:trPr>
        <w:tc>
          <w:tcPr>
            <w:tcW w:w="1720" w:type="dxa"/>
            <w:vAlign w:val="center"/>
            <w:vMerge w:val="restart"/>
            <w:textDirection w:val="lrTb"/>
            <w:noWrap w:val="false"/>
          </w:tcPr>
          <w:p>
            <w:pPr>
              <w:jc w:val="center"/>
              <w:rPr>
                <w:rFonts w:ascii="宋体" w:hAnsi="宋体" w:cs="宋体"/>
                <w:color w:val="auto"/>
                <w:sz w:val="24"/>
              </w:rPr>
            </w:pPr>
            <w:r>
              <w:rPr>
                <w:rFonts w:hint="eastAsia" w:ascii="宋体" w:hAnsi="宋体" w:cs="宋体"/>
                <w:color w:val="auto"/>
                <w:sz w:val="24"/>
              </w:rPr>
              <w:t xml:space="preserve">售后服务及培训方案（</w:t>
            </w:r>
            <w:r>
              <w:rPr>
                <w:rFonts w:ascii="宋体" w:hAnsi="宋体" w:cs="宋体"/>
                <w:color w:val="auto"/>
                <w:sz w:val="24"/>
              </w:rPr>
              <w:t xml:space="preserve">15</w:t>
            </w:r>
            <w:r>
              <w:rPr>
                <w:rFonts w:hint="eastAsia" w:ascii="宋体" w:hAnsi="宋体" w:cs="宋体"/>
                <w:color w:val="auto"/>
                <w:sz w:val="24"/>
              </w:rPr>
              <w:t xml:space="preserve">分）</w:t>
            </w:r>
            <w:r/>
          </w:p>
        </w:tc>
        <w:tc>
          <w:tcPr>
            <w:tcW w:w="7590" w:type="dxa"/>
            <w:vAlign w:val="center"/>
            <w:textDirection w:val="lrTb"/>
            <w:noWrap w:val="false"/>
          </w:tcPr>
          <w:p>
            <w:pPr>
              <w:rPr>
                <w:rFonts w:ascii="宋体" w:hAnsi="宋体" w:cs="宋体"/>
                <w:color w:val="auto"/>
                <w:sz w:val="24"/>
              </w:rPr>
            </w:pPr>
            <w:r>
              <w:rPr>
                <w:rFonts w:hint="eastAsia" w:ascii="宋体" w:hAnsi="宋体" w:cs="宋体"/>
                <w:color w:val="auto"/>
                <w:sz w:val="24"/>
              </w:rPr>
              <w:t xml:space="preserve">1、质保期内售后服务方案（包含但不限于服务方式、响应时间、故障处理、售后服务人员配备等）（</w:t>
            </w:r>
            <w:r>
              <w:rPr>
                <w:rFonts w:ascii="宋体" w:hAnsi="宋体" w:cs="宋体"/>
                <w:color w:val="auto"/>
                <w:sz w:val="24"/>
              </w:rPr>
              <w:t xml:space="preserve">5</w:t>
            </w:r>
            <w:r>
              <w:rPr>
                <w:rFonts w:hint="eastAsia" w:ascii="宋体" w:hAnsi="宋体" w:cs="宋体"/>
                <w:color w:val="auto"/>
                <w:sz w:val="24"/>
              </w:rPr>
              <w:t xml:space="preserve">分）：</w:t>
            </w:r>
            <w:r/>
          </w:p>
          <w:p>
            <w:pPr>
              <w:rPr>
                <w:rFonts w:ascii="宋体" w:hAnsi="宋体" w:cs="宋体"/>
                <w:color w:val="auto"/>
                <w:sz w:val="24"/>
              </w:rPr>
            </w:pPr>
            <w:r>
              <w:rPr>
                <w:rFonts w:hint="eastAsia" w:ascii="宋体" w:hAnsi="宋体" w:cs="宋体"/>
                <w:color w:val="auto"/>
                <w:sz w:val="24"/>
              </w:rPr>
              <w:t xml:space="preserve">对内容的全面性、针对性进行评价。</w:t>
            </w:r>
            <w:r/>
          </w:p>
          <w:p>
            <w:pPr>
              <w:rPr>
                <w:rFonts w:ascii="宋体" w:hAnsi="宋体" w:cs="宋体"/>
                <w:color w:val="auto"/>
                <w:sz w:val="24"/>
              </w:rPr>
            </w:pPr>
            <w:r>
              <w:rPr>
                <w:rFonts w:hint="eastAsia" w:ascii="宋体" w:hAnsi="宋体" w:cs="宋体"/>
                <w:color w:val="auto"/>
                <w:sz w:val="24"/>
              </w:rPr>
              <w:t xml:space="preserve">（1）全面性（</w:t>
            </w:r>
            <w:r>
              <w:rPr>
                <w:rFonts w:ascii="宋体" w:hAnsi="宋体" w:cs="宋体"/>
                <w:color w:val="auto"/>
                <w:sz w:val="24"/>
              </w:rPr>
              <w:t xml:space="preserve">3</w:t>
            </w:r>
            <w:r>
              <w:rPr>
                <w:rFonts w:hint="eastAsia" w:ascii="宋体" w:hAnsi="宋体" w:cs="宋体"/>
                <w:color w:val="auto"/>
                <w:sz w:val="24"/>
              </w:rPr>
              <w:t xml:space="preserve">分）：全面具体详实得</w:t>
            </w:r>
            <w:r>
              <w:rPr>
                <w:rFonts w:ascii="宋体" w:hAnsi="宋体" w:cs="宋体"/>
                <w:color w:val="auto"/>
                <w:sz w:val="24"/>
              </w:rPr>
              <w:t xml:space="preserve">3</w:t>
            </w:r>
            <w:r>
              <w:rPr>
                <w:rFonts w:hint="eastAsia" w:ascii="宋体" w:hAnsi="宋体" w:cs="宋体"/>
                <w:color w:val="auto"/>
                <w:sz w:val="24"/>
              </w:rPr>
              <w:t xml:space="preserve">分；较全面得2分；不太全面得1分。</w:t>
            </w:r>
            <w:r/>
          </w:p>
          <w:p>
            <w:pPr>
              <w:rPr>
                <w:rFonts w:ascii="宋体" w:hAnsi="宋体" w:cs="宋体"/>
                <w:color w:val="auto"/>
                <w:sz w:val="24"/>
              </w:rPr>
            </w:pPr>
            <w:r>
              <w:rPr>
                <w:rFonts w:hint="eastAsia" w:ascii="宋体" w:hAnsi="宋体" w:cs="宋体"/>
                <w:color w:val="auto"/>
                <w:sz w:val="24"/>
              </w:rPr>
              <w:t xml:space="preserve">（2）针对性（</w:t>
            </w:r>
            <w:r>
              <w:rPr>
                <w:rFonts w:ascii="宋体" w:hAnsi="宋体" w:cs="宋体"/>
                <w:color w:val="auto"/>
                <w:sz w:val="24"/>
              </w:rPr>
              <w:t xml:space="preserve">2</w:t>
            </w:r>
            <w:r>
              <w:rPr>
                <w:rFonts w:hint="eastAsia" w:ascii="宋体" w:hAnsi="宋体" w:cs="宋体"/>
                <w:color w:val="auto"/>
                <w:sz w:val="24"/>
              </w:rPr>
              <w:t xml:space="preserve">分）：针对性强得</w:t>
            </w:r>
            <w:r>
              <w:rPr>
                <w:rFonts w:ascii="宋体" w:hAnsi="宋体" w:cs="宋体"/>
                <w:color w:val="auto"/>
                <w:sz w:val="24"/>
              </w:rPr>
              <w:t xml:space="preserve">2</w:t>
            </w:r>
            <w:r>
              <w:rPr>
                <w:rFonts w:hint="eastAsia" w:ascii="宋体" w:hAnsi="宋体" w:cs="宋体"/>
                <w:color w:val="auto"/>
                <w:sz w:val="24"/>
              </w:rPr>
              <w:t xml:space="preserve">分；针对性较强得</w:t>
            </w:r>
            <w:r>
              <w:rPr>
                <w:rFonts w:ascii="宋体" w:hAnsi="宋体" w:cs="宋体"/>
                <w:color w:val="auto"/>
                <w:sz w:val="24"/>
              </w:rPr>
              <w:t xml:space="preserve">1</w:t>
            </w:r>
            <w:r>
              <w:rPr>
                <w:rFonts w:hint="eastAsia" w:ascii="宋体" w:hAnsi="宋体" w:cs="宋体"/>
                <w:color w:val="auto"/>
                <w:sz w:val="24"/>
              </w:rPr>
              <w:t xml:space="preserve">分；针对性不强得</w:t>
            </w:r>
            <w:r>
              <w:rPr>
                <w:rFonts w:ascii="宋体" w:hAnsi="宋体" w:cs="宋体"/>
                <w:color w:val="auto"/>
                <w:sz w:val="24"/>
              </w:rPr>
              <w:t xml:space="preserve">0</w:t>
            </w:r>
            <w:r>
              <w:rPr>
                <w:rFonts w:hint="eastAsia" w:ascii="宋体" w:hAnsi="宋体" w:cs="宋体"/>
                <w:color w:val="auto"/>
                <w:sz w:val="24"/>
              </w:rPr>
              <w:t xml:space="preserve">分。</w:t>
            </w:r>
            <w:r/>
          </w:p>
          <w:p>
            <w:pPr>
              <w:rPr>
                <w:rFonts w:ascii="宋体" w:hAnsi="宋体" w:cs="宋体"/>
                <w:color w:val="auto"/>
                <w:sz w:val="24"/>
              </w:rPr>
            </w:pPr>
            <w:r>
              <w:rPr>
                <w:rFonts w:hint="eastAsia" w:ascii="宋体" w:hAnsi="宋体" w:cs="宋体"/>
                <w:color w:val="auto"/>
                <w:sz w:val="24"/>
              </w:rPr>
              <w:t xml:space="preserve">最高得</w:t>
            </w:r>
            <w:r>
              <w:rPr>
                <w:rFonts w:ascii="宋体" w:hAnsi="宋体" w:cs="宋体"/>
                <w:color w:val="auto"/>
                <w:sz w:val="24"/>
              </w:rPr>
              <w:t xml:space="preserve">5</w:t>
            </w:r>
            <w:r>
              <w:rPr>
                <w:rFonts w:hint="eastAsia" w:ascii="宋体" w:hAnsi="宋体" w:cs="宋体"/>
                <w:color w:val="auto"/>
                <w:sz w:val="24"/>
              </w:rPr>
              <w:t xml:space="preserve">分，未提供的得0分。</w:t>
            </w:r>
            <w:r/>
          </w:p>
        </w:tc>
      </w:tr>
      <w:tr>
        <w:trPr>
          <w:jc w:val="center"/>
          <w:trHeight w:val="2145"/>
        </w:trPr>
        <w:tc>
          <w:tcPr>
            <w:tcW w:w="1720" w:type="dxa"/>
            <w:vAlign w:val="center"/>
            <w:vMerge w:val="continue"/>
            <w:textDirection w:val="lrTb"/>
            <w:noWrap w:val="false"/>
          </w:tcPr>
          <w:p>
            <w:pPr>
              <w:jc w:val="center"/>
              <w:rPr>
                <w:rFonts w:ascii="宋体" w:hAnsi="宋体" w:cs="宋体"/>
                <w:color w:val="auto"/>
                <w:sz w:val="24"/>
              </w:rPr>
            </w:pPr>
            <w:r>
              <w:rPr>
                <w:rFonts w:ascii="宋体" w:hAnsi="宋体" w:cs="宋体"/>
                <w:color w:val="auto"/>
                <w:sz w:val="24"/>
              </w:rPr>
            </w:r>
            <w:r/>
          </w:p>
        </w:tc>
        <w:tc>
          <w:tcPr>
            <w:tcW w:w="7590" w:type="dxa"/>
            <w:vAlign w:val="center"/>
            <w:textDirection w:val="lrTb"/>
            <w:noWrap w:val="false"/>
          </w:tcPr>
          <w:p>
            <w:pPr>
              <w:rPr>
                <w:rFonts w:ascii="宋体" w:hAnsi="宋体" w:cs="宋体"/>
                <w:color w:val="auto"/>
                <w:sz w:val="24"/>
              </w:rPr>
            </w:pPr>
            <w:r>
              <w:rPr>
                <w:rFonts w:hint="eastAsia" w:ascii="宋体" w:hAnsi="宋体" w:cs="宋体"/>
                <w:color w:val="auto"/>
                <w:sz w:val="24"/>
              </w:rPr>
              <w:t xml:space="preserve">2、质保期满后售后服务方案（包含但不限于服务方式、响应时间、故障处理、质保期满后配件供应等）（</w:t>
            </w:r>
            <w:r>
              <w:rPr>
                <w:rFonts w:ascii="宋体" w:hAnsi="宋体" w:cs="宋体"/>
                <w:color w:val="auto"/>
                <w:sz w:val="24"/>
              </w:rPr>
              <w:t xml:space="preserve">5</w:t>
            </w:r>
            <w:r>
              <w:rPr>
                <w:rFonts w:hint="eastAsia" w:ascii="宋体" w:hAnsi="宋体" w:cs="宋体"/>
                <w:color w:val="auto"/>
                <w:sz w:val="24"/>
              </w:rPr>
              <w:t xml:space="preserve">分）</w:t>
            </w:r>
            <w:r/>
          </w:p>
          <w:p>
            <w:pPr>
              <w:rPr>
                <w:rFonts w:ascii="宋体" w:hAnsi="宋体" w:cs="宋体"/>
                <w:color w:val="auto"/>
                <w:sz w:val="24"/>
              </w:rPr>
            </w:pPr>
            <w:r>
              <w:rPr>
                <w:rFonts w:hint="eastAsia" w:ascii="宋体" w:hAnsi="宋体" w:cs="宋体"/>
                <w:color w:val="auto"/>
                <w:sz w:val="24"/>
              </w:rPr>
              <w:t xml:space="preserve">对内容的全面性、针对性进行评价。</w:t>
            </w:r>
            <w:r/>
          </w:p>
          <w:p>
            <w:pPr>
              <w:rPr>
                <w:rFonts w:ascii="宋体" w:hAnsi="宋体" w:cs="宋体"/>
                <w:color w:val="auto"/>
                <w:sz w:val="24"/>
              </w:rPr>
            </w:pPr>
            <w:r>
              <w:rPr>
                <w:rFonts w:hint="eastAsia" w:ascii="宋体" w:hAnsi="宋体" w:cs="宋体"/>
                <w:color w:val="auto"/>
                <w:sz w:val="24"/>
              </w:rPr>
              <w:t xml:space="preserve">（1）全面性（</w:t>
            </w:r>
            <w:r>
              <w:rPr>
                <w:rFonts w:ascii="宋体" w:hAnsi="宋体" w:cs="宋体"/>
                <w:color w:val="auto"/>
                <w:sz w:val="24"/>
              </w:rPr>
              <w:t xml:space="preserve">3</w:t>
            </w:r>
            <w:r>
              <w:rPr>
                <w:rFonts w:hint="eastAsia" w:ascii="宋体" w:hAnsi="宋体" w:cs="宋体"/>
                <w:color w:val="auto"/>
                <w:sz w:val="24"/>
              </w:rPr>
              <w:t xml:space="preserve">分）：全面具体详实得</w:t>
            </w:r>
            <w:r>
              <w:rPr>
                <w:rFonts w:ascii="宋体" w:hAnsi="宋体" w:cs="宋体"/>
                <w:color w:val="auto"/>
                <w:sz w:val="24"/>
              </w:rPr>
              <w:t xml:space="preserve">3</w:t>
            </w:r>
            <w:r>
              <w:rPr>
                <w:rFonts w:hint="eastAsia" w:ascii="宋体" w:hAnsi="宋体" w:cs="宋体"/>
                <w:color w:val="auto"/>
                <w:sz w:val="24"/>
              </w:rPr>
              <w:t xml:space="preserve">分；较全面得2分；不太全面得1分。</w:t>
            </w:r>
            <w:r/>
          </w:p>
          <w:p>
            <w:pPr>
              <w:rPr>
                <w:rFonts w:ascii="宋体" w:hAnsi="宋体" w:cs="宋体"/>
                <w:color w:val="auto"/>
                <w:sz w:val="24"/>
              </w:rPr>
            </w:pPr>
            <w:r>
              <w:rPr>
                <w:rFonts w:hint="eastAsia" w:ascii="宋体" w:hAnsi="宋体" w:cs="宋体"/>
                <w:color w:val="auto"/>
                <w:sz w:val="24"/>
              </w:rPr>
              <w:t xml:space="preserve">（2）针对性（</w:t>
            </w:r>
            <w:r>
              <w:rPr>
                <w:rFonts w:ascii="宋体" w:hAnsi="宋体" w:cs="宋体"/>
                <w:color w:val="auto"/>
                <w:sz w:val="24"/>
              </w:rPr>
              <w:t xml:space="preserve">2</w:t>
            </w:r>
            <w:r>
              <w:rPr>
                <w:rFonts w:hint="eastAsia" w:ascii="宋体" w:hAnsi="宋体" w:cs="宋体"/>
                <w:color w:val="auto"/>
                <w:sz w:val="24"/>
              </w:rPr>
              <w:t xml:space="preserve">分）：针对性强得</w:t>
            </w:r>
            <w:r>
              <w:rPr>
                <w:rFonts w:ascii="宋体" w:hAnsi="宋体" w:cs="宋体"/>
                <w:color w:val="auto"/>
                <w:sz w:val="24"/>
              </w:rPr>
              <w:t xml:space="preserve">2</w:t>
            </w:r>
            <w:r>
              <w:rPr>
                <w:rFonts w:hint="eastAsia" w:ascii="宋体" w:hAnsi="宋体" w:cs="宋体"/>
                <w:color w:val="auto"/>
                <w:sz w:val="24"/>
              </w:rPr>
              <w:t xml:space="preserve">分；针对性较强得</w:t>
            </w:r>
            <w:r>
              <w:rPr>
                <w:rFonts w:ascii="宋体" w:hAnsi="宋体" w:cs="宋体"/>
                <w:color w:val="auto"/>
                <w:sz w:val="24"/>
              </w:rPr>
              <w:t xml:space="preserve">1</w:t>
            </w:r>
            <w:r>
              <w:rPr>
                <w:rFonts w:hint="eastAsia" w:ascii="宋体" w:hAnsi="宋体" w:cs="宋体"/>
                <w:color w:val="auto"/>
                <w:sz w:val="24"/>
              </w:rPr>
              <w:t xml:space="preserve">分；针对性不强得</w:t>
            </w:r>
            <w:r>
              <w:rPr>
                <w:rFonts w:ascii="宋体" w:hAnsi="宋体" w:cs="宋体"/>
                <w:color w:val="auto"/>
                <w:sz w:val="24"/>
              </w:rPr>
              <w:t xml:space="preserve">0</w:t>
            </w:r>
            <w:r>
              <w:rPr>
                <w:rFonts w:hint="eastAsia" w:ascii="宋体" w:hAnsi="宋体" w:cs="宋体"/>
                <w:color w:val="auto"/>
                <w:sz w:val="24"/>
              </w:rPr>
              <w:t xml:space="preserve">分。</w:t>
            </w:r>
            <w:r/>
          </w:p>
          <w:p>
            <w:pPr>
              <w:rPr>
                <w:rFonts w:ascii="宋体" w:hAnsi="宋体" w:cs="宋体"/>
                <w:color w:val="auto"/>
                <w:sz w:val="24"/>
              </w:rPr>
            </w:pPr>
            <w:r>
              <w:rPr>
                <w:rFonts w:hint="eastAsia" w:ascii="宋体" w:hAnsi="宋体" w:cs="宋体"/>
                <w:color w:val="auto"/>
                <w:sz w:val="24"/>
              </w:rPr>
              <w:t xml:space="preserve">最高得</w:t>
            </w:r>
            <w:r>
              <w:rPr>
                <w:rFonts w:ascii="宋体" w:hAnsi="宋体" w:cs="宋体"/>
                <w:color w:val="auto"/>
                <w:sz w:val="24"/>
              </w:rPr>
              <w:t xml:space="preserve">5</w:t>
            </w:r>
            <w:r>
              <w:rPr>
                <w:rFonts w:hint="eastAsia" w:ascii="宋体" w:hAnsi="宋体" w:cs="宋体"/>
                <w:color w:val="auto"/>
                <w:sz w:val="24"/>
              </w:rPr>
              <w:t xml:space="preserve">分，最低得0分。</w:t>
            </w:r>
            <w:r/>
          </w:p>
        </w:tc>
      </w:tr>
      <w:tr>
        <w:trPr>
          <w:jc w:val="center"/>
          <w:trHeight w:val="2145"/>
        </w:trPr>
        <w:tc>
          <w:tcPr>
            <w:tcW w:w="1720" w:type="dxa"/>
            <w:vAlign w:val="center"/>
            <w:vMerge w:val="continue"/>
            <w:textDirection w:val="lrTb"/>
            <w:noWrap w:val="false"/>
          </w:tcPr>
          <w:p>
            <w:pPr>
              <w:jc w:val="center"/>
              <w:rPr>
                <w:rFonts w:ascii="宋体" w:hAnsi="宋体" w:cs="宋体"/>
                <w:color w:val="auto"/>
                <w:sz w:val="24"/>
              </w:rPr>
            </w:pPr>
            <w:r>
              <w:rPr>
                <w:rFonts w:ascii="宋体" w:hAnsi="宋体" w:cs="宋体"/>
                <w:color w:val="auto"/>
                <w:sz w:val="24"/>
              </w:rPr>
            </w:r>
            <w:r/>
          </w:p>
        </w:tc>
        <w:tc>
          <w:tcPr>
            <w:tcW w:w="7590" w:type="dxa"/>
            <w:vAlign w:val="center"/>
            <w:textDirection w:val="lrTb"/>
            <w:noWrap w:val="false"/>
          </w:tcPr>
          <w:p>
            <w:pPr>
              <w:numPr>
                <w:ilvl w:val="0"/>
                <w:numId w:val="1"/>
              </w:numPr>
              <w:rPr>
                <w:rFonts w:ascii="宋体" w:hAnsi="宋体" w:cs="宋体"/>
                <w:color w:val="auto"/>
                <w:sz w:val="24"/>
              </w:rPr>
            </w:pPr>
            <w:r>
              <w:rPr>
                <w:rFonts w:hint="eastAsia" w:ascii="宋体" w:hAnsi="宋体" w:cs="宋体"/>
                <w:color w:val="auto"/>
                <w:sz w:val="24"/>
              </w:rPr>
              <w:t xml:space="preserve">培训方案（</w:t>
            </w:r>
            <w:r>
              <w:rPr>
                <w:rFonts w:ascii="宋体" w:hAnsi="宋体" w:cs="宋体"/>
                <w:color w:val="auto"/>
                <w:sz w:val="24"/>
              </w:rPr>
              <w:t xml:space="preserve">5</w:t>
            </w:r>
            <w:r>
              <w:rPr>
                <w:rFonts w:hint="eastAsia" w:ascii="宋体" w:hAnsi="宋体" w:cs="宋体"/>
                <w:color w:val="auto"/>
                <w:sz w:val="24"/>
              </w:rPr>
              <w:t xml:space="preserve">分）：</w:t>
            </w:r>
            <w:r/>
          </w:p>
          <w:p>
            <w:pPr>
              <w:rPr>
                <w:rFonts w:ascii="宋体" w:hAnsi="宋体" w:cs="宋体"/>
                <w:color w:val="auto"/>
                <w:sz w:val="24"/>
              </w:rPr>
            </w:pPr>
            <w:r>
              <w:rPr>
                <w:rFonts w:hint="eastAsia" w:ascii="宋体" w:hAnsi="宋体" w:cs="宋体"/>
                <w:color w:val="auto"/>
                <w:sz w:val="24"/>
              </w:rPr>
              <w:t xml:space="preserve">（1）全面性（</w:t>
            </w:r>
            <w:r>
              <w:rPr>
                <w:rFonts w:ascii="宋体" w:hAnsi="宋体" w:cs="宋体"/>
                <w:color w:val="auto"/>
                <w:sz w:val="24"/>
              </w:rPr>
              <w:t xml:space="preserve">3</w:t>
            </w:r>
            <w:r>
              <w:rPr>
                <w:rFonts w:hint="eastAsia" w:ascii="宋体" w:hAnsi="宋体" w:cs="宋体"/>
                <w:color w:val="auto"/>
                <w:sz w:val="24"/>
              </w:rPr>
              <w:t xml:space="preserve">分）：全面具体详实得</w:t>
            </w:r>
            <w:r>
              <w:rPr>
                <w:rFonts w:ascii="宋体" w:hAnsi="宋体" w:cs="宋体"/>
                <w:color w:val="auto"/>
                <w:sz w:val="24"/>
              </w:rPr>
              <w:t xml:space="preserve">3</w:t>
            </w:r>
            <w:r>
              <w:rPr>
                <w:rFonts w:hint="eastAsia" w:ascii="宋体" w:hAnsi="宋体" w:cs="宋体"/>
                <w:color w:val="auto"/>
                <w:sz w:val="24"/>
              </w:rPr>
              <w:t xml:space="preserve">分；较全面得2分；不太全面得1分。</w:t>
            </w:r>
            <w:r/>
          </w:p>
          <w:p>
            <w:pPr>
              <w:rPr>
                <w:rFonts w:ascii="宋体" w:hAnsi="宋体" w:cs="宋体"/>
                <w:color w:val="auto"/>
                <w:sz w:val="24"/>
              </w:rPr>
            </w:pPr>
            <w:r>
              <w:rPr>
                <w:rFonts w:hint="eastAsia" w:ascii="宋体" w:hAnsi="宋体" w:cs="宋体"/>
                <w:color w:val="auto"/>
                <w:sz w:val="24"/>
              </w:rPr>
              <w:t xml:space="preserve">（2）针对性（</w:t>
            </w:r>
            <w:r>
              <w:rPr>
                <w:rFonts w:ascii="宋体" w:hAnsi="宋体" w:cs="宋体"/>
                <w:color w:val="auto"/>
                <w:sz w:val="24"/>
              </w:rPr>
              <w:t xml:space="preserve">2</w:t>
            </w:r>
            <w:r>
              <w:rPr>
                <w:rFonts w:hint="eastAsia" w:ascii="宋体" w:hAnsi="宋体" w:cs="宋体"/>
                <w:color w:val="auto"/>
                <w:sz w:val="24"/>
              </w:rPr>
              <w:t xml:space="preserve">分）：针对性强得</w:t>
            </w:r>
            <w:r>
              <w:rPr>
                <w:rFonts w:ascii="宋体" w:hAnsi="宋体" w:cs="宋体"/>
                <w:color w:val="auto"/>
                <w:sz w:val="24"/>
              </w:rPr>
              <w:t xml:space="preserve">2</w:t>
            </w:r>
            <w:r>
              <w:rPr>
                <w:rFonts w:hint="eastAsia" w:ascii="宋体" w:hAnsi="宋体" w:cs="宋体"/>
                <w:color w:val="auto"/>
                <w:sz w:val="24"/>
              </w:rPr>
              <w:t xml:space="preserve">分；针对性较强得</w:t>
            </w:r>
            <w:r>
              <w:rPr>
                <w:rFonts w:ascii="宋体" w:hAnsi="宋体" w:cs="宋体"/>
                <w:color w:val="auto"/>
                <w:sz w:val="24"/>
              </w:rPr>
              <w:t xml:space="preserve">1</w:t>
            </w:r>
            <w:r>
              <w:rPr>
                <w:rFonts w:hint="eastAsia" w:ascii="宋体" w:hAnsi="宋体" w:cs="宋体"/>
                <w:color w:val="auto"/>
                <w:sz w:val="24"/>
              </w:rPr>
              <w:t xml:space="preserve">分；针对性不强得</w:t>
            </w:r>
            <w:r>
              <w:rPr>
                <w:rFonts w:ascii="宋体" w:hAnsi="宋体" w:cs="宋体"/>
                <w:color w:val="auto"/>
                <w:sz w:val="24"/>
              </w:rPr>
              <w:t xml:space="preserve">0</w:t>
            </w:r>
            <w:r>
              <w:rPr>
                <w:rFonts w:hint="eastAsia" w:ascii="宋体" w:hAnsi="宋体" w:cs="宋体"/>
                <w:color w:val="auto"/>
                <w:sz w:val="24"/>
              </w:rPr>
              <w:t xml:space="preserve">分。</w:t>
            </w:r>
            <w:r/>
          </w:p>
          <w:p>
            <w:pPr>
              <w:rPr>
                <w:rFonts w:ascii="宋体" w:hAnsi="宋体" w:cs="宋体"/>
                <w:color w:val="auto"/>
                <w:sz w:val="24"/>
              </w:rPr>
            </w:pPr>
            <w:r>
              <w:rPr>
                <w:rFonts w:hint="eastAsia" w:ascii="宋体" w:hAnsi="宋体" w:cs="宋体"/>
                <w:color w:val="auto"/>
                <w:sz w:val="24"/>
              </w:rPr>
              <w:t xml:space="preserve">最高得</w:t>
            </w:r>
            <w:r>
              <w:rPr>
                <w:rFonts w:ascii="宋体" w:hAnsi="宋体" w:cs="宋体"/>
                <w:color w:val="auto"/>
                <w:sz w:val="24"/>
              </w:rPr>
              <w:t xml:space="preserve">5</w:t>
            </w:r>
            <w:r>
              <w:rPr>
                <w:rFonts w:hint="eastAsia" w:ascii="宋体" w:hAnsi="宋体" w:cs="宋体"/>
                <w:color w:val="auto"/>
                <w:sz w:val="24"/>
              </w:rPr>
              <w:t xml:space="preserve">分，最低得0分。</w:t>
            </w:r>
            <w:r/>
          </w:p>
        </w:tc>
      </w:tr>
    </w:tbl>
    <w:p>
      <w:pPr>
        <w:spacing w:line="519" w:lineRule="atLeast"/>
        <w:rPr>
          <w:rFonts w:ascii="宋体" w:hAnsi="宋体" w:cs="宋体"/>
          <w:sz w:val="20"/>
          <w:szCs w:val="22"/>
        </w:rPr>
        <w:pBdr>
          <w:top w:val="none" w:color="000000" w:sz="0" w:space="0"/>
          <w:left w:val="none" w:color="000000" w:sz="0" w:space="0"/>
          <w:bottom w:val="none" w:color="000000" w:sz="0" w:space="0"/>
          <w:right w:val="none" w:color="000000" w:sz="0" w:space="0"/>
        </w:pBdr>
      </w:pPr>
      <w:r>
        <w:rPr>
          <w:rFonts w:hint="eastAsia" w:ascii="宋体" w:hAnsi="宋体" w:cs="宋体"/>
          <w:sz w:val="28"/>
          <w:szCs w:val="22"/>
        </w:rPr>
        <w:t xml:space="preserve">本章说明：本项目采用综合评分法。</w:t>
      </w:r>
      <w:r/>
    </w:p>
    <w:p>
      <w:pPr>
        <w:jc w:val="center"/>
        <w:rPr>
          <w:rFonts w:ascii="宋体" w:hAnsi="宋体" w:cs="宋体"/>
          <w:b/>
          <w:bCs/>
          <w:sz w:val="30"/>
          <w:szCs w:val="30"/>
        </w:rPr>
        <w:sectPr>
          <w:footnotePr/>
          <w:endnotePr/>
          <w:type w:val="nextPage"/>
          <w:pgSz w:w="11906" w:h="16838" w:orient="portrait"/>
          <w:pgMar w:top="1440" w:right="1803" w:bottom="1440" w:left="1803" w:header="851" w:footer="992" w:gutter="0"/>
          <w:pgNumType w:start="1"/>
          <w:cols w:num="1" w:sep="0" w:space="1701" w:equalWidth="1"/>
          <w:docGrid w:linePitch="360"/>
        </w:sectPr>
      </w:pPr>
      <w:r>
        <w:rPr>
          <w:rFonts w:ascii="宋体" w:hAnsi="宋体" w:cs="宋体"/>
          <w:b/>
          <w:bCs/>
          <w:sz w:val="30"/>
          <w:szCs w:val="30"/>
        </w:rPr>
      </w:r>
      <w:r/>
    </w:p>
    <w:p>
      <w:pPr>
        <w:jc w:val="center"/>
        <w:spacing w:line="360" w:lineRule="auto"/>
        <w:rPr>
          <w:rFonts w:hint="eastAsia" w:ascii="宋体" w:hAnsi="宋体" w:eastAsia="宋体" w:cs="宋体"/>
          <w:b/>
          <w:bCs/>
          <w:color w:val="auto"/>
          <w:sz w:val="30"/>
          <w:szCs w:val="30"/>
          <w:highlight w:val="none"/>
        </w:rPr>
      </w:pPr>
      <w:r>
        <w:rPr>
          <w:rFonts w:hint="eastAsia" w:ascii="宋体" w:hAnsi="宋体" w:eastAsia="宋体" w:cs="宋体"/>
          <w:b/>
          <w:bCs/>
          <w:color w:val="auto"/>
          <w:sz w:val="30"/>
          <w:szCs w:val="30"/>
          <w:highlight w:val="none"/>
        </w:rPr>
        <w:t xml:space="preserve">第五章 拟签订的合同文本</w:t>
      </w:r>
      <w:r/>
    </w:p>
    <w:p>
      <w:pPr>
        <w:rPr>
          <w:rFonts w:hint="eastAsia" w:ascii="宋体" w:hAnsi="宋体" w:eastAsia="宋体" w:cs="宋体"/>
          <w:b/>
          <w:color w:val="auto"/>
          <w:sz w:val="52"/>
          <w:szCs w:val="36"/>
          <w:highlight w:val="none"/>
        </w:rPr>
      </w:pPr>
      <w:r>
        <w:rPr>
          <w:rFonts w:hint="eastAsia" w:ascii="宋体" w:hAnsi="宋体" w:eastAsia="宋体" w:cs="宋体"/>
          <w:b/>
          <w:color w:val="auto"/>
          <w:sz w:val="52"/>
          <w:szCs w:val="36"/>
          <w:highlight w:val="none"/>
        </w:rPr>
      </w:r>
      <w:r/>
    </w:p>
    <w:p>
      <w:pPr>
        <w:jc w:val="center"/>
        <w:rPr>
          <w:rFonts w:hint="eastAsia" w:ascii="宋体" w:hAnsi="宋体" w:eastAsia="宋体" w:cs="宋体"/>
          <w:b/>
          <w:color w:val="auto"/>
          <w:sz w:val="72"/>
          <w:szCs w:val="72"/>
          <w:highlight w:val="none"/>
        </w:rPr>
      </w:pPr>
      <w:r>
        <w:rPr>
          <w:rFonts w:hint="eastAsia" w:ascii="宋体" w:hAnsi="宋体" w:eastAsia="宋体" w:cs="宋体"/>
          <w:b/>
          <w:color w:val="auto"/>
          <w:sz w:val="72"/>
          <w:szCs w:val="72"/>
          <w:highlight w:val="none"/>
        </w:rPr>
      </w:r>
      <w:r/>
    </w:p>
    <w:p>
      <w:pPr>
        <w:jc w:val="center"/>
        <w:rPr>
          <w:rFonts w:hint="eastAsia" w:ascii="宋体" w:hAnsi="宋体" w:eastAsia="宋体" w:cs="宋体"/>
          <w:b/>
          <w:color w:val="auto"/>
          <w:sz w:val="72"/>
          <w:szCs w:val="72"/>
          <w:highlight w:val="none"/>
        </w:rPr>
      </w:pPr>
      <w:r>
        <w:rPr>
          <w:rFonts w:hint="eastAsia" w:ascii="宋体" w:hAnsi="宋体" w:eastAsia="宋体" w:cs="宋体"/>
          <w:b/>
          <w:color w:val="auto"/>
          <w:sz w:val="72"/>
          <w:szCs w:val="72"/>
          <w:highlight w:val="none"/>
        </w:rPr>
        <w:t xml:space="preserve">政 府 采 购 合 同</w:t>
      </w:r>
      <w:r/>
    </w:p>
    <w:p>
      <w:pPr>
        <w:jc w:val="left"/>
        <w:rPr>
          <w:rFonts w:hint="eastAsia" w:ascii="宋体" w:hAnsi="宋体" w:eastAsia="宋体" w:cs="宋体"/>
          <w:b/>
          <w:color w:val="auto"/>
          <w:sz w:val="36"/>
          <w:szCs w:val="36"/>
          <w:highlight w:val="none"/>
        </w:rPr>
      </w:pPr>
      <w:r>
        <w:rPr>
          <w:rFonts w:hint="eastAsia" w:ascii="宋体" w:hAnsi="宋体" w:eastAsia="宋体" w:cs="宋体"/>
          <w:b/>
          <w:color w:val="auto"/>
          <w:sz w:val="36"/>
          <w:szCs w:val="36"/>
          <w:highlight w:val="none"/>
        </w:rPr>
      </w:r>
      <w:r/>
    </w:p>
    <w:p>
      <w:pPr>
        <w:jc w:val="left"/>
        <w:rPr>
          <w:rFonts w:hint="eastAsia" w:ascii="宋体" w:hAnsi="宋体" w:eastAsia="宋体" w:cs="宋体"/>
          <w:b/>
          <w:color w:val="auto"/>
          <w:sz w:val="36"/>
          <w:szCs w:val="36"/>
          <w:highlight w:val="none"/>
        </w:rPr>
      </w:pPr>
      <w:r>
        <w:rPr>
          <w:rFonts w:hint="eastAsia" w:ascii="宋体" w:hAnsi="宋体" w:eastAsia="宋体" w:cs="宋体"/>
          <w:b/>
          <w:color w:val="auto"/>
          <w:sz w:val="36"/>
          <w:szCs w:val="36"/>
          <w:highlight w:val="none"/>
        </w:rPr>
      </w:r>
      <w:r/>
    </w:p>
    <w:p>
      <w:pPr>
        <w:jc w:val="left"/>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jc w:val="left"/>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jc w:val="left"/>
        <w:rPr>
          <w:rFonts w:hint="eastAsia" w:ascii="宋体" w:hAnsi="宋体" w:eastAsia="宋体" w:cs="宋体"/>
          <w:b/>
          <w:color w:val="auto"/>
          <w:sz w:val="32"/>
          <w:szCs w:val="32"/>
          <w:highlight w:val="none"/>
          <w:lang w:eastAsia="zh-CN"/>
        </w:rPr>
      </w:pPr>
      <w:r>
        <w:rPr>
          <w:rFonts w:hint="eastAsia" w:ascii="宋体" w:hAnsi="宋体" w:eastAsia="宋体" w:cs="宋体"/>
          <w:b/>
          <w:color w:val="auto"/>
          <w:sz w:val="32"/>
          <w:szCs w:val="32"/>
          <w:highlight w:val="none"/>
        </w:rPr>
        <w:t xml:space="preserve">项目编号：</w:t>
      </w:r>
      <w:r>
        <w:rPr>
          <w:rFonts w:hint="eastAsia" w:ascii="宋体" w:hAnsi="宋体" w:cs="宋体"/>
          <w:b/>
          <w:strike w:val="0"/>
          <w:color w:val="auto"/>
          <w:sz w:val="32"/>
          <w:szCs w:val="32"/>
          <w:highlight w:val="none"/>
          <w:lang w:eastAsia="zh-CN"/>
        </w:rPr>
        <w:t xml:space="preserve">JSZC-320300-JSZR-G2025-0124</w:t>
      </w:r>
      <w:r/>
    </w:p>
    <w:p>
      <w:pPr>
        <w:jc w:val="left"/>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jc w:val="left"/>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jc w:val="left"/>
        <w:rPr>
          <w:rFonts w:hint="eastAsia" w:ascii="宋体" w:hAnsi="宋体" w:eastAsia="宋体" w:cs="宋体"/>
          <w:b/>
          <w:color w:val="auto"/>
          <w:sz w:val="32"/>
          <w:szCs w:val="32"/>
          <w:highlight w:val="none"/>
          <w:lang w:eastAsia="zh-CN"/>
        </w:rPr>
      </w:pPr>
      <w:r>
        <w:rPr>
          <w:rFonts w:hint="eastAsia" w:ascii="宋体" w:hAnsi="宋体" w:eastAsia="宋体" w:cs="宋体"/>
          <w:b/>
          <w:color w:val="auto"/>
          <w:sz w:val="32"/>
          <w:szCs w:val="32"/>
          <w:highlight w:val="none"/>
        </w:rPr>
        <w:t xml:space="preserve">项目名称：</w:t>
      </w:r>
      <w:r>
        <w:rPr>
          <w:rFonts w:hint="eastAsia" w:ascii="宋体" w:hAnsi="宋体" w:cs="宋体"/>
          <w:b/>
          <w:color w:val="auto"/>
          <w:sz w:val="32"/>
          <w:szCs w:val="32"/>
          <w:highlight w:val="none"/>
          <w:lang w:eastAsia="zh-CN"/>
        </w:rPr>
        <w:t xml:space="preserve">徐州市第一人民医院口服药单剂量分包机</w:t>
      </w:r>
      <w:r/>
    </w:p>
    <w:p>
      <w:pPr>
        <w:jc w:val="left"/>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jc w:val="left"/>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jc w:val="left"/>
        <w:rPr>
          <w:rFonts w:hint="eastAsia" w:ascii="宋体" w:hAnsi="宋体" w:eastAsia="宋体" w:cs="宋体"/>
          <w:b/>
          <w:color w:val="auto"/>
          <w:sz w:val="32"/>
          <w:szCs w:val="32"/>
          <w:highlight w:val="none"/>
          <w:lang w:eastAsia="zh-CN"/>
        </w:rPr>
      </w:pPr>
      <w:r>
        <w:rPr>
          <w:rFonts w:hint="eastAsia" w:ascii="宋体" w:hAnsi="宋体" w:eastAsia="宋体" w:cs="宋体"/>
          <w:b/>
          <w:color w:val="auto"/>
          <w:sz w:val="32"/>
          <w:szCs w:val="32"/>
          <w:highlight w:val="none"/>
        </w:rPr>
        <w:t xml:space="preserve">采购单位（甲方）：</w:t>
      </w:r>
      <w:r>
        <w:rPr>
          <w:rFonts w:hint="eastAsia" w:ascii="宋体" w:hAnsi="宋体" w:cs="宋体"/>
          <w:b/>
          <w:color w:val="auto"/>
          <w:sz w:val="32"/>
          <w:szCs w:val="32"/>
          <w:highlight w:val="none"/>
          <w:lang w:eastAsia="zh-CN"/>
        </w:rPr>
        <w:t xml:space="preserve">徐州市第一人民医院</w:t>
      </w:r>
      <w:r/>
    </w:p>
    <w:p>
      <w:pPr>
        <w:ind w:firstLine="630"/>
        <w:jc w:val="left"/>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jc w:val="left"/>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jc w:val="left"/>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t xml:space="preserve">中标供应商（乙方）：</w:t>
      </w:r>
      <w:r/>
    </w:p>
    <w:p>
      <w:pPr>
        <w:ind w:firstLine="630"/>
        <w:jc w:val="left"/>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jc w:val="left"/>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jc w:val="left"/>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t xml:space="preserve">签订日期：    年  月  日</w:t>
      </w:r>
      <w:r/>
    </w:p>
    <w:p>
      <w:pPr>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r>
      <w:r/>
    </w:p>
    <w:p>
      <w:pPr>
        <w:pStyle w:val="978"/>
        <w:ind w:left="0"/>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978"/>
        <w:ind w:left="0" w:right="0"/>
        <w:spacing w:after="0"/>
        <w:rPr>
          <w:rFonts w:hint="eastAsia" w:ascii="宋体" w:hAnsi="宋体" w:eastAsia="宋体" w:cs="宋体"/>
          <w:b/>
          <w:color w:val="auto"/>
          <w:sz w:val="24"/>
          <w:highlight w:val="none"/>
        </w:rPr>
      </w:pPr>
      <w:r>
        <w:rPr>
          <w:rFonts w:hint="eastAsia" w:ascii="宋体" w:hAnsi="宋体" w:eastAsia="宋体" w:cs="宋体"/>
          <w:b/>
          <w:color w:val="auto"/>
          <w:sz w:val="24"/>
          <w:highlight w:val="none"/>
        </w:rPr>
      </w:r>
      <w:r/>
    </w:p>
    <w:p>
      <w:pPr>
        <w:pStyle w:val="978"/>
        <w:ind w:left="0" w:right="0"/>
        <w:spacing w:after="0"/>
        <w:rPr>
          <w:rFonts w:hint="eastAsia" w:ascii="宋体" w:hAnsi="宋体" w:eastAsia="宋体" w:cs="宋体"/>
          <w:b/>
          <w:color w:val="auto"/>
          <w:sz w:val="24"/>
          <w:highlight w:val="none"/>
        </w:rPr>
      </w:pPr>
      <w:r>
        <w:rPr>
          <w:rFonts w:hint="eastAsia" w:ascii="宋体" w:hAnsi="宋体" w:eastAsia="宋体" w:cs="宋体"/>
          <w:b/>
          <w:color w:val="auto"/>
          <w:sz w:val="24"/>
          <w:highlight w:val="none"/>
        </w:rPr>
      </w:r>
      <w:r/>
    </w:p>
    <w:p>
      <w:pPr>
        <w:pStyle w:val="978"/>
        <w:ind w:left="0" w:right="0"/>
        <w:spacing w:after="0"/>
        <w:rPr>
          <w:rFonts w:hint="eastAsia" w:ascii="宋体" w:hAnsi="宋体" w:eastAsia="宋体" w:cs="宋体"/>
          <w:b/>
          <w:color w:val="auto"/>
          <w:sz w:val="24"/>
          <w:highlight w:val="none"/>
        </w:rPr>
      </w:pPr>
      <w:r>
        <w:rPr>
          <w:rFonts w:hint="eastAsia" w:ascii="宋体" w:hAnsi="宋体" w:eastAsia="宋体" w:cs="宋体"/>
          <w:b/>
          <w:color w:val="auto"/>
          <w:sz w:val="24"/>
          <w:highlight w:val="none"/>
        </w:rPr>
      </w:r>
      <w:r/>
    </w:p>
    <w:p>
      <w:pPr>
        <w:pStyle w:val="978"/>
        <w:ind w:left="0" w:right="0"/>
        <w:spacing w:after="0"/>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友情提醒：采购人与中标、成交供应商应当在中标通知书发出之日起三十日内，按照采购文件确定的事项签订政府采购合同。</w:t>
      </w:r>
      <w:r/>
    </w:p>
    <w:p>
      <w:pPr>
        <w:pStyle w:val="978"/>
        <w:ind w:left="0" w:right="0"/>
        <w:spacing w:after="0"/>
        <w:rPr>
          <w:rFonts w:hint="eastAsia" w:ascii="宋体" w:hAnsi="宋体" w:eastAsia="宋体" w:cs="宋体"/>
          <w:b/>
          <w:color w:val="auto"/>
          <w:sz w:val="24"/>
          <w:highlight w:val="none"/>
        </w:rPr>
        <w:sectPr>
          <w:footnotePr/>
          <w:endnotePr/>
          <w:type w:val="nextPage"/>
          <w:pgSz w:w="11906" w:h="16838" w:orient="portrait"/>
          <w:pgMar w:top="1440" w:right="1803" w:bottom="1440" w:left="1803" w:header="851" w:footer="992" w:gutter="0"/>
          <w:cols w:num="1" w:sep="0" w:space="1701" w:equalWidth="1"/>
          <w:docGrid w:linePitch="360"/>
        </w:sectPr>
      </w:pPr>
      <w:r>
        <w:rPr>
          <w:rFonts w:hint="eastAsia" w:ascii="宋体" w:hAnsi="宋体" w:eastAsia="宋体" w:cs="宋体"/>
          <w:b/>
          <w:color w:val="auto"/>
          <w:sz w:val="24"/>
          <w:highlight w:val="none"/>
        </w:rPr>
        <w:t xml:space="preserve">采购人应当自政府采购合同签订之日起2个工作日内，将政府采购合同在省级以上人民政府财政部门指定的媒体上公告，但政府采购合同中涉及国家秘密、商业秘密的内容除外。</w:t>
      </w:r>
      <w:r/>
    </w:p>
    <w:p>
      <w:pPr>
        <w:jc w:val="center"/>
        <w:spacing w:line="360" w:lineRule="auto"/>
        <w:rPr>
          <w:rFonts w:hint="eastAsia" w:ascii="宋体" w:hAnsi="宋体" w:eastAsia="宋体" w:cs="宋体"/>
          <w:color w:val="auto"/>
          <w:sz w:val="30"/>
          <w:szCs w:val="30"/>
        </w:rPr>
      </w:pPr>
      <w:r>
        <w:rPr>
          <w:rFonts w:hint="eastAsia" w:ascii="宋体" w:hAnsi="宋体" w:eastAsia="宋体" w:cs="宋体"/>
          <w:color w:val="auto"/>
          <w:sz w:val="30"/>
          <w:szCs w:val="30"/>
        </w:rPr>
        <w:t xml:space="preserve">合同通用条款</w:t>
      </w:r>
      <w:r/>
    </w:p>
    <w:p>
      <w:pPr>
        <w:jc w:val="center"/>
        <w:rPr>
          <w:rFonts w:hint="eastAsia" w:ascii="宋体" w:hAnsi="宋体" w:eastAsia="宋体" w:cs="宋体"/>
          <w:color w:val="auto"/>
          <w:sz w:val="24"/>
        </w:rPr>
      </w:pPr>
      <w:r>
        <w:rPr>
          <w:rFonts w:hint="eastAsia" w:ascii="宋体" w:hAnsi="宋体" w:eastAsia="宋体" w:cs="宋体"/>
          <w:color w:val="auto"/>
          <w:sz w:val="24"/>
        </w:rPr>
      </w:r>
      <w:r/>
    </w:p>
    <w:p>
      <w:pPr>
        <w:jc w:val="center"/>
        <w:rPr>
          <w:rFonts w:hint="eastAsia" w:ascii="宋体" w:hAnsi="宋体" w:eastAsia="宋体" w:cs="宋体"/>
          <w:color w:val="auto"/>
          <w:sz w:val="24"/>
        </w:rPr>
      </w:pPr>
      <w:r>
        <w:rPr>
          <w:rFonts w:hint="eastAsia" w:ascii="宋体" w:hAnsi="宋体" w:eastAsia="宋体" w:cs="宋体"/>
          <w:color w:val="auto"/>
          <w:sz w:val="24"/>
        </w:rPr>
        <w:t xml:space="preserve">目录</w:t>
      </w:r>
      <w:r/>
    </w:p>
    <w:p>
      <w:pPr>
        <w:jc w:val="center"/>
        <w:rPr>
          <w:rFonts w:hint="eastAsia" w:ascii="宋体" w:hAnsi="宋体" w:eastAsia="宋体" w:cs="宋体"/>
          <w:color w:val="auto"/>
          <w:sz w:val="24"/>
        </w:rPr>
      </w:pPr>
      <w:r>
        <w:rPr>
          <w:rFonts w:hint="eastAsia" w:ascii="宋体" w:hAnsi="宋体" w:eastAsia="宋体" w:cs="宋体"/>
          <w:color w:val="auto"/>
          <w:sz w:val="24"/>
        </w:rPr>
      </w:r>
      <w:r/>
    </w:p>
    <w:p>
      <w:pPr>
        <w:rPr>
          <w:rFonts w:hint="eastAsia" w:ascii="宋体" w:hAnsi="宋体" w:eastAsia="宋体" w:cs="宋体"/>
          <w:color w:val="auto"/>
          <w:sz w:val="24"/>
        </w:rPr>
      </w:pPr>
      <w:r>
        <w:rPr>
          <w:rFonts w:hint="eastAsia" w:ascii="宋体" w:hAnsi="宋体" w:eastAsia="宋体" w:cs="宋体"/>
          <w:color w:val="auto"/>
          <w:sz w:val="24"/>
        </w:rPr>
        <w:t xml:space="preserve">第一条    定义</w:t>
      </w:r>
      <w:r/>
    </w:p>
    <w:p>
      <w:pPr>
        <w:rPr>
          <w:rFonts w:hint="eastAsia" w:ascii="宋体" w:hAnsi="宋体" w:eastAsia="宋体" w:cs="宋体"/>
          <w:color w:val="auto"/>
          <w:sz w:val="24"/>
        </w:rPr>
      </w:pPr>
      <w:r>
        <w:rPr>
          <w:rFonts w:hint="eastAsia" w:ascii="宋体" w:hAnsi="宋体" w:eastAsia="宋体" w:cs="宋体"/>
          <w:color w:val="auto"/>
          <w:sz w:val="24"/>
        </w:rPr>
        <w:t xml:space="preserve">第二条    合同范围</w:t>
      </w:r>
      <w:r/>
    </w:p>
    <w:p>
      <w:pPr>
        <w:rPr>
          <w:rFonts w:hint="eastAsia" w:ascii="宋体" w:hAnsi="宋体" w:eastAsia="宋体" w:cs="宋体"/>
          <w:color w:val="auto"/>
          <w:sz w:val="24"/>
        </w:rPr>
      </w:pPr>
      <w:r>
        <w:rPr>
          <w:rFonts w:hint="eastAsia" w:ascii="宋体" w:hAnsi="宋体" w:eastAsia="宋体" w:cs="宋体"/>
          <w:color w:val="auto"/>
          <w:sz w:val="24"/>
        </w:rPr>
        <w:t xml:space="preserve">第三条    价格</w:t>
      </w:r>
      <w:r/>
    </w:p>
    <w:p>
      <w:pPr>
        <w:rPr>
          <w:rFonts w:hint="eastAsia" w:ascii="宋体" w:hAnsi="宋体" w:eastAsia="宋体" w:cs="宋体"/>
          <w:color w:val="auto"/>
          <w:sz w:val="24"/>
        </w:rPr>
      </w:pPr>
      <w:r>
        <w:rPr>
          <w:rFonts w:hint="eastAsia" w:ascii="宋体" w:hAnsi="宋体" w:eastAsia="宋体" w:cs="宋体"/>
          <w:color w:val="auto"/>
          <w:sz w:val="24"/>
        </w:rPr>
        <w:t xml:space="preserve">第四条    支付</w:t>
      </w:r>
      <w:r/>
    </w:p>
    <w:p>
      <w:pPr>
        <w:rPr>
          <w:rFonts w:hint="eastAsia" w:ascii="宋体" w:hAnsi="宋体" w:eastAsia="宋体" w:cs="宋体"/>
          <w:color w:val="auto"/>
          <w:sz w:val="24"/>
        </w:rPr>
      </w:pPr>
      <w:r>
        <w:rPr>
          <w:rFonts w:hint="eastAsia" w:ascii="宋体" w:hAnsi="宋体" w:eastAsia="宋体" w:cs="宋体"/>
          <w:color w:val="auto"/>
          <w:sz w:val="24"/>
        </w:rPr>
        <w:t xml:space="preserve">第五条    交货</w:t>
      </w:r>
      <w:r/>
    </w:p>
    <w:p>
      <w:pPr>
        <w:rPr>
          <w:rFonts w:hint="eastAsia" w:ascii="宋体" w:hAnsi="宋体" w:eastAsia="宋体" w:cs="宋体"/>
          <w:color w:val="auto"/>
          <w:sz w:val="24"/>
        </w:rPr>
      </w:pPr>
      <w:r>
        <w:rPr>
          <w:rFonts w:hint="eastAsia" w:ascii="宋体" w:hAnsi="宋体" w:eastAsia="宋体" w:cs="宋体"/>
          <w:color w:val="auto"/>
          <w:sz w:val="24"/>
        </w:rPr>
        <w:t xml:space="preserve">第六条    包装和标记</w:t>
      </w:r>
      <w:r/>
    </w:p>
    <w:p>
      <w:pPr>
        <w:rPr>
          <w:rFonts w:hint="eastAsia" w:ascii="宋体" w:hAnsi="宋体" w:eastAsia="宋体" w:cs="宋体"/>
          <w:color w:val="auto"/>
          <w:sz w:val="24"/>
        </w:rPr>
      </w:pPr>
      <w:r>
        <w:rPr>
          <w:rFonts w:hint="eastAsia" w:ascii="宋体" w:hAnsi="宋体" w:eastAsia="宋体" w:cs="宋体"/>
          <w:color w:val="auto"/>
          <w:sz w:val="24"/>
        </w:rPr>
        <w:t xml:space="preserve">第七条    技术资料</w:t>
      </w:r>
      <w:r/>
    </w:p>
    <w:p>
      <w:pPr>
        <w:rPr>
          <w:rFonts w:hint="eastAsia" w:ascii="宋体" w:hAnsi="宋体" w:eastAsia="宋体" w:cs="宋体"/>
          <w:color w:val="auto"/>
          <w:sz w:val="24"/>
        </w:rPr>
      </w:pPr>
      <w:r>
        <w:rPr>
          <w:rFonts w:hint="eastAsia" w:ascii="宋体" w:hAnsi="宋体" w:eastAsia="宋体" w:cs="宋体"/>
          <w:color w:val="auto"/>
          <w:sz w:val="24"/>
        </w:rPr>
        <w:t xml:space="preserve">第八条    安装</w:t>
      </w:r>
      <w:r/>
    </w:p>
    <w:p>
      <w:pPr>
        <w:rPr>
          <w:rFonts w:hint="eastAsia" w:ascii="宋体" w:hAnsi="宋体" w:eastAsia="宋体" w:cs="宋体"/>
          <w:color w:val="auto"/>
          <w:sz w:val="24"/>
        </w:rPr>
      </w:pPr>
      <w:r>
        <w:rPr>
          <w:rFonts w:hint="eastAsia" w:ascii="宋体" w:hAnsi="宋体" w:eastAsia="宋体" w:cs="宋体"/>
          <w:color w:val="auto"/>
          <w:sz w:val="24"/>
        </w:rPr>
        <w:t xml:space="preserve">第九条    验收</w:t>
      </w:r>
      <w:r/>
    </w:p>
    <w:p>
      <w:pPr>
        <w:rPr>
          <w:rFonts w:hint="eastAsia" w:ascii="宋体" w:hAnsi="宋体" w:eastAsia="宋体" w:cs="宋体"/>
          <w:color w:val="auto"/>
          <w:sz w:val="24"/>
        </w:rPr>
      </w:pPr>
      <w:r>
        <w:rPr>
          <w:rFonts w:hint="eastAsia" w:ascii="宋体" w:hAnsi="宋体" w:eastAsia="宋体" w:cs="宋体"/>
          <w:color w:val="auto"/>
          <w:sz w:val="24"/>
        </w:rPr>
        <w:t xml:space="preserve">第十条    售后服务和技术培训</w:t>
      </w:r>
      <w:r/>
    </w:p>
    <w:p>
      <w:pPr>
        <w:rPr>
          <w:rFonts w:hint="eastAsia" w:ascii="宋体" w:hAnsi="宋体" w:eastAsia="宋体" w:cs="宋体"/>
          <w:color w:val="auto"/>
          <w:sz w:val="24"/>
        </w:rPr>
      </w:pPr>
      <w:r>
        <w:rPr>
          <w:rFonts w:hint="eastAsia" w:ascii="宋体" w:hAnsi="宋体" w:eastAsia="宋体" w:cs="宋体"/>
          <w:color w:val="auto"/>
          <w:sz w:val="24"/>
        </w:rPr>
        <w:t xml:space="preserve">第十一条  索赔</w:t>
      </w:r>
      <w:r/>
    </w:p>
    <w:p>
      <w:pPr>
        <w:rPr>
          <w:rFonts w:hint="eastAsia" w:ascii="宋体" w:hAnsi="宋体" w:eastAsia="宋体" w:cs="宋体"/>
          <w:color w:val="auto"/>
          <w:sz w:val="24"/>
        </w:rPr>
      </w:pPr>
      <w:r>
        <w:rPr>
          <w:rFonts w:hint="eastAsia" w:ascii="宋体" w:hAnsi="宋体" w:eastAsia="宋体" w:cs="宋体"/>
          <w:color w:val="auto"/>
          <w:sz w:val="24"/>
        </w:rPr>
        <w:t xml:space="preserve">第十二条  不可抗力</w:t>
      </w:r>
      <w:r/>
    </w:p>
    <w:p>
      <w:pPr>
        <w:rPr>
          <w:rFonts w:hint="eastAsia" w:ascii="宋体" w:hAnsi="宋体" w:eastAsia="宋体" w:cs="宋体"/>
          <w:color w:val="auto"/>
          <w:sz w:val="24"/>
        </w:rPr>
      </w:pPr>
      <w:r>
        <w:rPr>
          <w:rFonts w:hint="eastAsia" w:ascii="宋体" w:hAnsi="宋体" w:eastAsia="宋体" w:cs="宋体"/>
          <w:color w:val="auto"/>
          <w:sz w:val="24"/>
        </w:rPr>
        <w:t xml:space="preserve">第十三条  合同的终止</w:t>
      </w:r>
      <w:r/>
    </w:p>
    <w:p>
      <w:pPr>
        <w:rPr>
          <w:rFonts w:hint="eastAsia" w:ascii="宋体" w:hAnsi="宋体" w:eastAsia="宋体" w:cs="宋体"/>
          <w:color w:val="auto"/>
          <w:sz w:val="24"/>
        </w:rPr>
      </w:pPr>
      <w:r>
        <w:rPr>
          <w:rFonts w:hint="eastAsia" w:ascii="宋体" w:hAnsi="宋体" w:eastAsia="宋体" w:cs="宋体"/>
          <w:color w:val="auto"/>
          <w:sz w:val="24"/>
        </w:rPr>
        <w:t xml:space="preserve">第十四条  争议的解决</w:t>
      </w:r>
      <w:r/>
    </w:p>
    <w:p>
      <w:pPr>
        <w:rPr>
          <w:rFonts w:hint="eastAsia" w:ascii="宋体" w:hAnsi="宋体" w:eastAsia="宋体" w:cs="宋体"/>
          <w:color w:val="auto"/>
          <w:sz w:val="24"/>
        </w:rPr>
      </w:pPr>
      <w:r>
        <w:rPr>
          <w:rFonts w:hint="eastAsia" w:ascii="宋体" w:hAnsi="宋体" w:eastAsia="宋体" w:cs="宋体"/>
          <w:color w:val="auto"/>
          <w:sz w:val="24"/>
        </w:rPr>
        <w:t xml:space="preserve">第十五条  适用法律</w:t>
      </w:r>
      <w:r/>
    </w:p>
    <w:p>
      <w:pPr>
        <w:rPr>
          <w:rFonts w:hint="eastAsia" w:ascii="宋体" w:hAnsi="宋体" w:eastAsia="宋体" w:cs="宋体"/>
          <w:color w:val="auto"/>
          <w:sz w:val="24"/>
        </w:rPr>
      </w:pPr>
      <w:r>
        <w:rPr>
          <w:rFonts w:hint="eastAsia" w:ascii="宋体" w:hAnsi="宋体" w:eastAsia="宋体" w:cs="宋体"/>
          <w:color w:val="auto"/>
          <w:sz w:val="24"/>
        </w:rPr>
        <w:t xml:space="preserve">第十六条  权利保证</w:t>
      </w:r>
      <w:r/>
    </w:p>
    <w:p>
      <w:pPr>
        <w:rPr>
          <w:rFonts w:hint="eastAsia" w:ascii="宋体" w:hAnsi="宋体" w:eastAsia="宋体" w:cs="宋体"/>
          <w:color w:val="auto"/>
          <w:sz w:val="24"/>
        </w:rPr>
      </w:pPr>
      <w:r>
        <w:rPr>
          <w:rFonts w:hint="eastAsia" w:ascii="宋体" w:hAnsi="宋体" w:eastAsia="宋体" w:cs="宋体"/>
          <w:color w:val="auto"/>
          <w:sz w:val="24"/>
        </w:rPr>
        <w:t xml:space="preserve">第十七条  保密</w:t>
      </w:r>
      <w:r/>
    </w:p>
    <w:p>
      <w:pPr>
        <w:rPr>
          <w:rFonts w:hint="eastAsia" w:ascii="宋体" w:hAnsi="宋体" w:eastAsia="宋体" w:cs="宋体"/>
          <w:color w:val="auto"/>
          <w:sz w:val="24"/>
        </w:rPr>
      </w:pPr>
      <w:r>
        <w:rPr>
          <w:rFonts w:hint="eastAsia" w:ascii="宋体" w:hAnsi="宋体" w:eastAsia="宋体" w:cs="宋体"/>
          <w:color w:val="auto"/>
          <w:sz w:val="24"/>
        </w:rPr>
        <w:t xml:space="preserve">第十八条  合同生效及其他</w:t>
      </w:r>
      <w:r/>
    </w:p>
    <w:p>
      <w:pPr>
        <w:rPr>
          <w:rFonts w:hint="eastAsia" w:ascii="宋体" w:hAnsi="宋体" w:eastAsia="宋体" w:cs="宋体"/>
          <w:color w:val="auto"/>
          <w:sz w:val="24"/>
        </w:rPr>
      </w:pPr>
      <w:r>
        <w:rPr>
          <w:rFonts w:hint="eastAsia" w:ascii="宋体" w:hAnsi="宋体" w:eastAsia="宋体" w:cs="宋体"/>
          <w:color w:val="auto"/>
          <w:sz w:val="24"/>
        </w:rPr>
      </w:r>
      <w:r/>
    </w:p>
    <w:p>
      <w:pPr>
        <w:rPr>
          <w:rFonts w:hint="eastAsia" w:ascii="宋体" w:hAnsi="宋体" w:eastAsia="宋体" w:cs="宋体"/>
          <w:color w:val="auto"/>
          <w:sz w:val="24"/>
        </w:rPr>
      </w:pPr>
      <w:r>
        <w:rPr>
          <w:rFonts w:hint="eastAsia" w:ascii="宋体" w:hAnsi="宋体" w:eastAsia="宋体" w:cs="宋体"/>
          <w:color w:val="auto"/>
          <w:sz w:val="24"/>
        </w:rPr>
      </w:r>
      <w:r/>
    </w:p>
    <w:p>
      <w:pPr>
        <w:rPr>
          <w:rFonts w:hint="eastAsia" w:ascii="宋体" w:hAnsi="宋体" w:eastAsia="宋体" w:cs="宋体"/>
          <w:color w:val="auto"/>
          <w:sz w:val="24"/>
        </w:rPr>
      </w:pPr>
      <w:r>
        <w:rPr>
          <w:rFonts w:hint="eastAsia" w:ascii="宋体" w:hAnsi="宋体" w:eastAsia="宋体" w:cs="宋体"/>
          <w:color w:val="auto"/>
          <w:sz w:val="24"/>
        </w:rPr>
      </w:r>
      <w:r/>
    </w:p>
    <w:p>
      <w:pPr>
        <w:rPr>
          <w:rFonts w:hint="eastAsia" w:ascii="宋体" w:hAnsi="宋体" w:eastAsia="宋体" w:cs="宋体"/>
          <w:color w:val="auto"/>
          <w:sz w:val="24"/>
        </w:rPr>
      </w:pPr>
      <w:r>
        <w:rPr>
          <w:rFonts w:hint="eastAsia" w:ascii="宋体" w:hAnsi="宋体" w:eastAsia="宋体" w:cs="宋体"/>
          <w:color w:val="auto"/>
          <w:sz w:val="24"/>
        </w:rPr>
      </w:r>
      <w:r/>
    </w:p>
    <w:p>
      <w:pPr>
        <w:rPr>
          <w:rFonts w:hint="eastAsia" w:ascii="宋体" w:hAnsi="宋体" w:eastAsia="宋体" w:cs="宋体"/>
          <w:color w:val="auto"/>
          <w:sz w:val="24"/>
        </w:rPr>
      </w:pPr>
      <w:r>
        <w:rPr>
          <w:rFonts w:hint="eastAsia" w:ascii="宋体" w:hAnsi="宋体" w:eastAsia="宋体" w:cs="宋体"/>
          <w:color w:val="auto"/>
          <w:sz w:val="24"/>
        </w:rPr>
      </w:r>
      <w:r/>
    </w:p>
    <w:p>
      <w:pPr>
        <w:rPr>
          <w:rFonts w:hint="eastAsia" w:ascii="宋体" w:hAnsi="宋体" w:eastAsia="宋体" w:cs="宋体"/>
          <w:color w:val="auto"/>
          <w:sz w:val="24"/>
        </w:rPr>
      </w:pPr>
      <w:r>
        <w:rPr>
          <w:rFonts w:hint="eastAsia" w:ascii="宋体" w:hAnsi="宋体" w:eastAsia="宋体" w:cs="宋体"/>
          <w:color w:val="auto"/>
          <w:sz w:val="24"/>
        </w:rPr>
      </w:r>
      <w:r/>
    </w:p>
    <w:p>
      <w:pPr>
        <w:rPr>
          <w:rFonts w:hint="eastAsia" w:ascii="宋体" w:hAnsi="宋体" w:eastAsia="宋体" w:cs="宋体"/>
          <w:color w:val="auto"/>
          <w:sz w:val="24"/>
        </w:rPr>
      </w:pPr>
      <w:r>
        <w:rPr>
          <w:rFonts w:hint="eastAsia" w:ascii="宋体" w:hAnsi="宋体" w:eastAsia="宋体" w:cs="宋体"/>
          <w:color w:val="auto"/>
          <w:sz w:val="24"/>
        </w:rPr>
      </w:r>
      <w:r/>
    </w:p>
    <w:p>
      <w:pPr>
        <w:rPr>
          <w:rFonts w:hint="eastAsia" w:ascii="宋体" w:hAnsi="宋体" w:eastAsia="宋体" w:cs="宋体"/>
          <w:color w:val="auto"/>
          <w:sz w:val="24"/>
        </w:rPr>
      </w:pPr>
      <w:r>
        <w:rPr>
          <w:rFonts w:hint="eastAsia" w:ascii="宋体" w:hAnsi="宋体" w:eastAsia="宋体" w:cs="宋体"/>
          <w:color w:val="auto"/>
          <w:sz w:val="24"/>
        </w:rPr>
      </w:r>
      <w:r/>
    </w:p>
    <w:p>
      <w:pPr>
        <w:rPr>
          <w:rFonts w:hint="eastAsia" w:ascii="宋体" w:hAnsi="宋体" w:eastAsia="宋体" w:cs="宋体"/>
          <w:color w:val="auto"/>
          <w:sz w:val="24"/>
        </w:rPr>
      </w:pPr>
      <w:r>
        <w:rPr>
          <w:rFonts w:hint="eastAsia" w:ascii="宋体" w:hAnsi="宋体" w:eastAsia="宋体" w:cs="宋体"/>
          <w:color w:val="auto"/>
          <w:sz w:val="24"/>
        </w:rPr>
      </w:r>
      <w:r/>
    </w:p>
    <w:p>
      <w:pPr>
        <w:rPr>
          <w:rFonts w:hint="eastAsia" w:ascii="宋体" w:hAnsi="宋体" w:eastAsia="宋体" w:cs="宋体"/>
          <w:color w:val="auto"/>
          <w:sz w:val="24"/>
        </w:rPr>
      </w:pPr>
      <w:r>
        <w:rPr>
          <w:rFonts w:hint="eastAsia" w:ascii="宋体" w:hAnsi="宋体" w:eastAsia="宋体" w:cs="宋体"/>
          <w:color w:val="auto"/>
          <w:sz w:val="24"/>
        </w:rPr>
      </w:r>
      <w:r/>
    </w:p>
    <w:p>
      <w:pPr>
        <w:rPr>
          <w:rFonts w:hint="eastAsia" w:ascii="宋体" w:hAnsi="宋体" w:eastAsia="宋体" w:cs="宋体"/>
          <w:color w:val="auto"/>
          <w:sz w:val="24"/>
        </w:rPr>
      </w:pPr>
      <w:r>
        <w:rPr>
          <w:rFonts w:hint="eastAsia" w:ascii="宋体" w:hAnsi="宋体" w:eastAsia="宋体" w:cs="宋体"/>
          <w:color w:val="auto"/>
          <w:sz w:val="24"/>
        </w:rPr>
      </w:r>
      <w:r/>
    </w:p>
    <w:p>
      <w:pPr>
        <w:rPr>
          <w:rFonts w:hint="eastAsia" w:ascii="宋体" w:hAnsi="宋体" w:eastAsia="宋体" w:cs="宋体"/>
          <w:color w:val="auto"/>
          <w:sz w:val="24"/>
        </w:rPr>
      </w:pPr>
      <w:r>
        <w:rPr>
          <w:rFonts w:hint="eastAsia" w:ascii="宋体" w:hAnsi="宋体" w:eastAsia="宋体" w:cs="宋体"/>
          <w:color w:val="auto"/>
          <w:sz w:val="24"/>
        </w:rPr>
      </w:r>
      <w:r/>
    </w:p>
    <w:p>
      <w:pPr>
        <w:rPr>
          <w:rFonts w:hint="eastAsia" w:ascii="宋体" w:hAnsi="宋体" w:eastAsia="宋体" w:cs="宋体"/>
          <w:color w:val="auto"/>
          <w:sz w:val="24"/>
        </w:rPr>
      </w:pPr>
      <w:r>
        <w:rPr>
          <w:rFonts w:hint="eastAsia" w:ascii="宋体" w:hAnsi="宋体" w:eastAsia="宋体" w:cs="宋体"/>
          <w:color w:val="auto"/>
          <w:sz w:val="24"/>
        </w:rPr>
      </w:r>
      <w:r/>
    </w:p>
    <w:p>
      <w:pPr>
        <w:rPr>
          <w:rFonts w:hint="eastAsia" w:ascii="宋体" w:hAnsi="宋体" w:eastAsia="宋体" w:cs="宋体"/>
          <w:color w:val="auto"/>
          <w:sz w:val="24"/>
        </w:rPr>
      </w:pPr>
      <w:r>
        <w:rPr>
          <w:rFonts w:hint="eastAsia" w:ascii="宋体" w:hAnsi="宋体" w:eastAsia="宋体" w:cs="宋体"/>
          <w:color w:val="auto"/>
          <w:sz w:val="24"/>
        </w:rPr>
      </w:r>
      <w:r/>
    </w:p>
    <w:p>
      <w:pPr>
        <w:rPr>
          <w:rFonts w:hint="eastAsia" w:ascii="宋体" w:hAnsi="宋体" w:eastAsia="宋体" w:cs="宋体"/>
          <w:color w:val="auto"/>
          <w:sz w:val="24"/>
        </w:rPr>
      </w:pPr>
      <w:r>
        <w:rPr>
          <w:rFonts w:hint="eastAsia" w:ascii="宋体" w:hAnsi="宋体" w:eastAsia="宋体" w:cs="宋体"/>
          <w:color w:val="auto"/>
          <w:sz w:val="24"/>
        </w:rPr>
      </w:r>
      <w:r/>
    </w:p>
    <w:p>
      <w:pPr>
        <w:rPr>
          <w:rFonts w:hint="eastAsia" w:ascii="宋体" w:hAnsi="宋体" w:eastAsia="宋体" w:cs="宋体"/>
          <w:color w:val="auto"/>
          <w:sz w:val="24"/>
        </w:rPr>
      </w:pPr>
      <w:r>
        <w:rPr>
          <w:rFonts w:hint="eastAsia" w:ascii="宋体" w:hAnsi="宋体" w:eastAsia="宋体" w:cs="宋体"/>
          <w:color w:val="auto"/>
          <w:sz w:val="24"/>
        </w:rPr>
      </w:r>
      <w:r/>
    </w:p>
    <w:p>
      <w:pPr>
        <w:jc w:val="center"/>
        <w:rPr>
          <w:rFonts w:hint="eastAsia" w:ascii="宋体" w:hAnsi="宋体" w:eastAsia="宋体" w:cs="宋体"/>
          <w:color w:val="auto"/>
          <w:sz w:val="30"/>
          <w:szCs w:val="30"/>
        </w:rPr>
        <w:sectPr>
          <w:footnotePr/>
          <w:endnotePr/>
          <w:type w:val="nextPage"/>
          <w:pgSz w:w="11906" w:h="16838" w:orient="portrait"/>
          <w:pgMar w:top="1440" w:right="1803" w:bottom="1440" w:left="1803" w:header="851" w:footer="992" w:gutter="0"/>
          <w:cols w:num="1" w:sep="0" w:space="1701" w:equalWidth="1"/>
          <w:docGrid w:linePitch="360"/>
        </w:sectPr>
      </w:pPr>
      <w:r>
        <w:rPr>
          <w:rFonts w:hint="eastAsia" w:ascii="宋体" w:hAnsi="宋体" w:eastAsia="宋体" w:cs="宋体"/>
          <w:color w:val="auto"/>
          <w:sz w:val="30"/>
          <w:szCs w:val="30"/>
        </w:rPr>
      </w:r>
      <w:r/>
    </w:p>
    <w:p>
      <w:pPr>
        <w:jc w:val="center"/>
        <w:spacing w:line="360" w:lineRule="auto"/>
        <w:rPr>
          <w:rFonts w:hint="eastAsia" w:ascii="宋体" w:hAnsi="宋体" w:eastAsia="宋体" w:cs="宋体"/>
          <w:color w:val="auto"/>
          <w:sz w:val="30"/>
          <w:szCs w:val="30"/>
        </w:rPr>
      </w:pPr>
      <w:r>
        <w:rPr>
          <w:rFonts w:hint="eastAsia" w:ascii="宋体" w:hAnsi="宋体" w:eastAsia="宋体" w:cs="宋体"/>
          <w:color w:val="auto"/>
          <w:sz w:val="30"/>
          <w:szCs w:val="30"/>
        </w:rPr>
        <w:t xml:space="preserve">合同通用条款</w:t>
      </w:r>
      <w:r/>
    </w:p>
    <w:p>
      <w:pPr>
        <w:jc w:val="center"/>
        <w:rPr>
          <w:rFonts w:hint="eastAsia" w:ascii="宋体" w:hAnsi="宋体" w:eastAsia="宋体" w:cs="宋体"/>
          <w:color w:val="auto"/>
          <w:sz w:val="24"/>
        </w:rPr>
      </w:pPr>
      <w:r>
        <w:rPr>
          <w:rFonts w:hint="eastAsia" w:ascii="宋体" w:hAnsi="宋体" w:eastAsia="宋体" w:cs="宋体"/>
          <w:color w:val="auto"/>
          <w:sz w:val="24"/>
        </w:rPr>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第一条  定义</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除本合同上下文中另有规定外，下列各词语定义如下： </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1.1“买方”见《合同专用条款》。</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1.2“卖方”见《合同专用条款》。</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1.3“工作现场”见《合同专用条款》。</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1.4“合同标的”见合同附件4。</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1.5“技术资料”是指与合同标的的安装、试运行、验收、操作以及维修有关的技术指标、规格、图纸和文件。</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1.6“技术培训”是指在合同标的的安装、试运行、验收、操作、维修以及其他方面卖方给予买方的培训。</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1.7“安装”是指有关合同标的、备件和材料的安装工作。</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1.8“试运行”是指为验明合同标的的技术性能，在安装完毕后对合同标的进行的测试。</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1.9“验收”是指根据合同附件2的规定进行的，用以确定合同标的是否达到合同附件2 所规定的技术性能的检验，以及合同标的在达到合同附件2 规定的技术性能之后，买方对合同标的的接受。</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1.10“合同货币”见《合同专用条款》。</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1.11“合同价格”见合同附件4。</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1.12“合同生效日”见《合同协议书》（合同附件1）第5 条。</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1.13“日”是指日历天数。</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1.14“月”是指日历月数。</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1.15“采购需求” 见合同附件6。</w:t>
      </w:r>
      <w:r/>
    </w:p>
    <w:p>
      <w:pPr>
        <w:ind w:firstLine="480"/>
        <w:rPr>
          <w:rFonts w:hint="eastAsia" w:ascii="宋体" w:hAnsi="宋体" w:eastAsia="宋体" w:cs="宋体"/>
          <w:color w:val="auto"/>
          <w:sz w:val="24"/>
        </w:rPr>
      </w:pPr>
      <w:r>
        <w:rPr>
          <w:rFonts w:hint="eastAsia" w:ascii="宋体" w:hAnsi="宋体" w:eastAsia="宋体" w:cs="宋体"/>
          <w:color w:val="auto"/>
          <w:sz w:val="24"/>
        </w:rPr>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第二条 合同范围</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2.1买方同意从卖方购买、卖方同意向买方出售和提供的合同标的以及相关售后服务、技术培训和技术资料。</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2.2数量：见招标文件第六章《采购需求》中“三、数量要求”。</w:t>
      </w:r>
      <w:r/>
    </w:p>
    <w:p>
      <w:pPr>
        <w:ind w:firstLine="480"/>
        <w:rPr>
          <w:rFonts w:hint="eastAsia" w:ascii="宋体" w:hAnsi="宋体" w:eastAsia="宋体" w:cs="宋体"/>
          <w:color w:val="auto"/>
          <w:sz w:val="24"/>
        </w:rPr>
      </w:pPr>
      <w:r>
        <w:rPr>
          <w:rFonts w:hint="eastAsia" w:ascii="宋体" w:hAnsi="宋体" w:eastAsia="宋体" w:cs="宋体"/>
          <w:color w:val="auto"/>
          <w:sz w:val="24"/>
        </w:rPr>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第三条 价格</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3.1 合同总价见《合同专用条款》。</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3.2 合同总价是固定价格。</w:t>
      </w:r>
      <w:r/>
    </w:p>
    <w:p>
      <w:pPr>
        <w:ind w:firstLine="480"/>
        <w:rPr>
          <w:rFonts w:hint="eastAsia" w:ascii="宋体" w:hAnsi="宋体" w:eastAsia="宋体" w:cs="宋体"/>
          <w:color w:val="auto"/>
          <w:sz w:val="24"/>
        </w:rPr>
      </w:pPr>
      <w:r>
        <w:rPr>
          <w:rFonts w:hint="eastAsia" w:ascii="宋体" w:hAnsi="宋体" w:eastAsia="宋体" w:cs="宋体"/>
          <w:color w:val="auto"/>
          <w:sz w:val="24"/>
        </w:rPr>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第四条 支付（采购资金的支付方式、时间、条件）</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4.1买方应按照《合同专用条款》的规定进行支付。如果卖方未能按照《合同专用条款》的要求提交支付文件，由此产生的所有责任和发生的所有费用，均由卖方承担。</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4.2卖方有义务根据合同的规定向买方支付违约金和/或赔偿金时，买方有权从任何一笔应付款中予以扣除。</w:t>
      </w:r>
      <w:r/>
    </w:p>
    <w:p>
      <w:pPr>
        <w:ind w:firstLine="480"/>
        <w:rPr>
          <w:rFonts w:hint="eastAsia" w:ascii="宋体" w:hAnsi="宋体" w:eastAsia="宋体" w:cs="宋体"/>
          <w:color w:val="auto"/>
          <w:sz w:val="24"/>
        </w:rPr>
      </w:pPr>
      <w:r>
        <w:rPr>
          <w:rFonts w:hint="eastAsia" w:ascii="宋体" w:hAnsi="宋体" w:eastAsia="宋体" w:cs="宋体"/>
          <w:color w:val="auto"/>
          <w:sz w:val="24"/>
        </w:rPr>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第五条 交货（货物、服务提供的时间、地点、方式）</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5.1交货期限、批次和交货条件见《合同专用条款》。</w:t>
      </w:r>
      <w:r/>
    </w:p>
    <w:p>
      <w:pPr>
        <w:ind w:firstLine="480"/>
        <w:rPr>
          <w:rFonts w:hint="eastAsia" w:ascii="宋体" w:hAnsi="宋体" w:eastAsia="宋体" w:cs="宋体"/>
          <w:strike/>
          <w:color w:val="auto"/>
          <w:sz w:val="24"/>
        </w:rPr>
      </w:pPr>
      <w:r>
        <w:rPr>
          <w:rFonts w:hint="eastAsia" w:ascii="宋体" w:hAnsi="宋体" w:eastAsia="宋体" w:cs="宋体"/>
          <w:color w:val="auto"/>
          <w:sz w:val="24"/>
        </w:rPr>
        <w:t xml:space="preserve">5.2交货地点见《合同专用条款》。</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5.3在《合同专用条款》规定的期限内，卖方应将合同号、合同标的的名称、数量、金额、包装件数以及交货的时间以书面方式通知买方。</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5.4卖方应按下列规定交付合同标的：</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5.4.1卖方负责将合同标的送至《合同专用条款》规定的交货地点。</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5.4.2买方出具的收据日期是合同标的的实际交货日期。</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5.5如果卖方未能按照合同规定的交货期限交货，卖方应按《合同专用条款》的规定支付违约金或提供其他救济。</w:t>
      </w:r>
      <w:r/>
    </w:p>
    <w:p>
      <w:pPr>
        <w:ind w:firstLine="480"/>
        <w:rPr>
          <w:rFonts w:hint="eastAsia" w:ascii="宋体" w:hAnsi="宋体" w:eastAsia="宋体" w:cs="宋体"/>
          <w:color w:val="auto"/>
          <w:sz w:val="24"/>
        </w:rPr>
      </w:pPr>
      <w:r>
        <w:rPr>
          <w:rFonts w:hint="eastAsia" w:ascii="宋体" w:hAnsi="宋体" w:eastAsia="宋体" w:cs="宋体"/>
          <w:color w:val="auto"/>
          <w:sz w:val="24"/>
        </w:rPr>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第六条 包装与标记</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6.1除非合同中另有规定，合同标的应保持产品制造企业原包装完好。</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6.2在合同标的的每件包装中都应附有下列单据： </w:t>
      </w:r>
      <w:r/>
    </w:p>
    <w:p>
      <w:pPr>
        <w:ind w:firstLine="480"/>
        <w:rPr>
          <w:rFonts w:hint="eastAsia" w:ascii="宋体" w:hAnsi="宋体" w:eastAsia="宋体" w:cs="宋体"/>
          <w:strike/>
          <w:color w:val="auto"/>
          <w:sz w:val="24"/>
        </w:rPr>
      </w:pPr>
      <w:r>
        <w:rPr>
          <w:rFonts w:hint="eastAsia" w:ascii="宋体" w:hAnsi="宋体" w:eastAsia="宋体" w:cs="宋体"/>
          <w:color w:val="auto"/>
          <w:sz w:val="24"/>
        </w:rPr>
        <w:t xml:space="preserve">A. 装箱明细单； </w:t>
      </w:r>
      <w:r/>
    </w:p>
    <w:p>
      <w:pPr>
        <w:ind w:firstLine="480"/>
        <w:rPr>
          <w:rFonts w:hint="eastAsia" w:ascii="宋体" w:hAnsi="宋体" w:eastAsia="宋体" w:cs="宋体"/>
          <w:strike/>
          <w:color w:val="auto"/>
          <w:sz w:val="24"/>
        </w:rPr>
      </w:pPr>
      <w:r>
        <w:rPr>
          <w:rFonts w:hint="eastAsia" w:ascii="宋体" w:hAnsi="宋体" w:eastAsia="宋体" w:cs="宋体"/>
          <w:color w:val="auto"/>
          <w:sz w:val="24"/>
        </w:rPr>
        <w:t xml:space="preserve">B. 质量合格证； </w:t>
      </w:r>
      <w:r/>
    </w:p>
    <w:p>
      <w:pPr>
        <w:ind w:firstLine="480"/>
        <w:rPr>
          <w:rFonts w:hint="eastAsia" w:ascii="宋体" w:hAnsi="宋体" w:eastAsia="宋体" w:cs="宋体"/>
          <w:strike/>
          <w:color w:val="auto"/>
          <w:sz w:val="24"/>
        </w:rPr>
      </w:pPr>
      <w:r>
        <w:rPr>
          <w:rFonts w:hint="eastAsia" w:ascii="宋体" w:hAnsi="宋体" w:eastAsia="宋体" w:cs="宋体"/>
          <w:color w:val="auto"/>
          <w:sz w:val="24"/>
        </w:rPr>
        <w:t xml:space="preserve">C. 技术资料。</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6.3凡由于对合同标的包装不当或采取防护措施不充分致使合同标的损坏或丢失时，卖方均应负责修理、更换或赔偿。如果因卖方在包装和标记方面发生的错误或混淆不清造成合同标的的误运，卖方应承担由此发生的额外费用。</w:t>
      </w:r>
      <w:r/>
    </w:p>
    <w:p>
      <w:pPr>
        <w:ind w:firstLine="480"/>
        <w:rPr>
          <w:rFonts w:hint="eastAsia" w:ascii="宋体" w:hAnsi="宋体" w:eastAsia="宋体" w:cs="宋体"/>
          <w:color w:val="auto"/>
          <w:sz w:val="24"/>
        </w:rPr>
      </w:pPr>
      <w:r>
        <w:rPr>
          <w:rFonts w:hint="eastAsia" w:ascii="宋体" w:hAnsi="宋体" w:eastAsia="宋体" w:cs="宋体"/>
          <w:color w:val="auto"/>
          <w:sz w:val="24"/>
        </w:rPr>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第七条 技术资料</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7.1 技术资料交付的期限和方式见《合同专用条款》。</w:t>
      </w:r>
      <w:r/>
    </w:p>
    <w:p>
      <w:pPr>
        <w:ind w:firstLine="480"/>
        <w:rPr>
          <w:rFonts w:hint="eastAsia" w:ascii="宋体" w:hAnsi="宋体" w:eastAsia="宋体" w:cs="宋体"/>
          <w:color w:val="auto"/>
          <w:sz w:val="24"/>
        </w:rPr>
      </w:pPr>
      <w:r>
        <w:rPr>
          <w:rFonts w:hint="eastAsia" w:ascii="宋体" w:hAnsi="宋体" w:eastAsia="宋体" w:cs="宋体"/>
          <w:color w:val="auto"/>
          <w:sz w:val="24"/>
        </w:rPr>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第八条 安装</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8.1 合同标的的安装期限见《合同专用条款》。</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8.2 项目实施方案见合同附件7。</w:t>
      </w:r>
      <w:r/>
    </w:p>
    <w:p>
      <w:pPr>
        <w:ind w:firstLine="480"/>
        <w:rPr>
          <w:rFonts w:hint="eastAsia" w:ascii="宋体" w:hAnsi="宋体" w:eastAsia="宋体" w:cs="宋体"/>
          <w:color w:val="auto"/>
          <w:sz w:val="24"/>
        </w:rPr>
      </w:pPr>
      <w:r>
        <w:rPr>
          <w:rFonts w:hint="eastAsia" w:ascii="宋体" w:hAnsi="宋体" w:eastAsia="宋体" w:cs="宋体"/>
          <w:color w:val="auto"/>
          <w:sz w:val="24"/>
        </w:rPr>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第九条 验收</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9.1合同标的的试运行、验收见《合同专用条款》。</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9.2如果合同附件2 所规定的所有技术性能在验收中都已经达到，双方应在验收合格后5 日内签署验收书。</w:t>
      </w:r>
      <w:r/>
    </w:p>
    <w:p>
      <w:pPr>
        <w:ind w:firstLine="540"/>
        <w:rPr>
          <w:rFonts w:hint="eastAsia" w:ascii="宋体" w:hAnsi="宋体" w:eastAsia="宋体" w:cs="宋体"/>
          <w:color w:val="auto"/>
          <w:sz w:val="24"/>
        </w:rPr>
      </w:pPr>
      <w:r>
        <w:rPr>
          <w:rFonts w:hint="eastAsia" w:ascii="宋体" w:hAnsi="宋体" w:eastAsia="宋体" w:cs="宋体"/>
          <w:color w:val="auto"/>
          <w:sz w:val="24"/>
        </w:rPr>
        <w:t xml:space="preserve">9.3验收标准（验收要求、验收标准和程序）：见合同附件5。</w:t>
      </w:r>
      <w:r/>
    </w:p>
    <w:p>
      <w:pPr>
        <w:ind w:firstLine="480"/>
        <w:rPr>
          <w:rFonts w:hint="eastAsia" w:ascii="宋体" w:hAnsi="宋体" w:eastAsia="宋体" w:cs="宋体"/>
          <w:color w:val="auto"/>
          <w:sz w:val="24"/>
        </w:rPr>
      </w:pPr>
      <w:r>
        <w:rPr>
          <w:rFonts w:hint="eastAsia" w:ascii="宋体" w:hAnsi="宋体" w:eastAsia="宋体" w:cs="宋体"/>
          <w:color w:val="auto"/>
          <w:sz w:val="24"/>
        </w:rPr>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第十条 售后服务和技术培训</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10.1售后服务和技术培训见合同附件3。</w:t>
      </w:r>
      <w:r/>
    </w:p>
    <w:p>
      <w:pPr>
        <w:ind w:firstLine="480"/>
        <w:rPr>
          <w:rFonts w:hint="eastAsia" w:ascii="宋体" w:hAnsi="宋体" w:eastAsia="宋体" w:cs="宋体"/>
          <w:color w:val="auto"/>
          <w:sz w:val="24"/>
        </w:rPr>
      </w:pPr>
      <w:r>
        <w:rPr>
          <w:rFonts w:hint="eastAsia" w:ascii="宋体" w:hAnsi="宋体" w:eastAsia="宋体" w:cs="宋体"/>
          <w:color w:val="auto"/>
          <w:sz w:val="24"/>
        </w:rPr>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第十一条 索赔</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11.1如果合同标的在安装、试运行和验收中卖方未能履行其在本合同项下承担的义务，买方有权向卖方提出索赔并寻求《合同专用条款》中规定的救济方式，救济方式包括：</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A. 卖方替换不符合合同规定的合同标的。</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B. 按质量低劣的程度、买方受损害的程度及损失的数额对合同标的进行降价。</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C. 拒收合同标的。</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D. 赔偿由卖方违约引起的其他损失。</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11.2如果卖方在收到买方索赔要求后未在《合同专用条款》规定的期限内作出书面回复，该索赔要求将被视为已被卖方接受。如卖方未能在买方发出索赔要求后《合同专用条款》规定的期限内或买方同意的延长期限内，按照买方选择的救济方式解决索赔事宜，买方有权从合同总价中扣除索赔金额。</w:t>
      </w:r>
      <w:r/>
    </w:p>
    <w:p>
      <w:pPr>
        <w:ind w:firstLine="480"/>
        <w:rPr>
          <w:rFonts w:hint="eastAsia" w:ascii="宋体" w:hAnsi="宋体" w:eastAsia="宋体" w:cs="宋体"/>
          <w:color w:val="auto"/>
          <w:sz w:val="24"/>
        </w:rPr>
      </w:pPr>
      <w:r>
        <w:rPr>
          <w:rFonts w:hint="eastAsia" w:ascii="宋体" w:hAnsi="宋体" w:eastAsia="宋体" w:cs="宋体"/>
          <w:color w:val="auto"/>
          <w:sz w:val="24"/>
        </w:rPr>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第十二条 不可抗力</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12.1如果合同任何一方受诸如战争、严重的火灾、台风、地震、洪水以及任何其他不能预见、不能避免且不能克服的不可抗力事件的影响而无法履行合同项下的任何义务，受影响的一方应将此类事件的发生以书面方式通知另一方并应在不可抗力事件发生后14 日内将有关部门或机构出具的证明文件提交给另一方。</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12.2受不可抗力事件影响的合同一方对于不可抗力事件导致的任何合同义务的迟延履行或不能履行不承担责任。但该方应尽快以书面方式将不可抗力事件结束或其影响消除的情况通知另一方。</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12.3合同双方应在不可抗力事件结束或其影响消除后立即继续履行其合同义务，如果不可抗力事件的影响持续超过《合同专用条款》规定的期限，合同任何一方均有权发出书面通知终止合同。</w:t>
      </w:r>
      <w:r/>
    </w:p>
    <w:p>
      <w:pPr>
        <w:ind w:firstLine="480"/>
        <w:rPr>
          <w:rFonts w:hint="eastAsia" w:ascii="宋体" w:hAnsi="宋体" w:eastAsia="宋体" w:cs="宋体"/>
          <w:color w:val="auto"/>
          <w:sz w:val="24"/>
        </w:rPr>
      </w:pPr>
      <w:r>
        <w:rPr>
          <w:rFonts w:hint="eastAsia" w:ascii="宋体" w:hAnsi="宋体" w:eastAsia="宋体" w:cs="宋体"/>
          <w:color w:val="auto"/>
          <w:sz w:val="24"/>
        </w:rPr>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第十三条 合同的终止</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13.1如果卖方有下述违约行为之一或《合同专用条款》中规定的其他违约行为，在不妨碍买方采取其它救济手段的情况下，买方可以向卖方发出书面违约通知，全部或部分地终止合同。</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A. 卖方在合同规定的交货期限后未能按《合同专用条款》中规定的最终期限交付合同标的和/或技术资料； </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B. 合同标的未能达到合同附件2 规定的技术性能； </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C. 卖方未能履行合同项下任何其它义务，并且在收到买方违约通知后未能按《合同专用条款》中规定的期限对其违约行为作出补救。</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13.2如果一方破产或发生资不抵债的情况,合同另一方有权在任何时候发出书面通知终止合同。此种情况下合同的终止不妨碍或影响行使任何可能的其它救济手段。</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13.3如果买方认定卖方在投标或执行合同中有腐败或欺诈行为,买方有权在任何时候发出书面通知终止合同。</w:t>
      </w:r>
      <w:r/>
    </w:p>
    <w:p>
      <w:pPr>
        <w:ind w:left="1" w:firstLine="537"/>
        <w:rPr>
          <w:rFonts w:hint="eastAsia" w:ascii="宋体" w:hAnsi="宋体" w:eastAsia="宋体" w:cs="宋体"/>
          <w:color w:val="auto"/>
          <w:sz w:val="24"/>
        </w:rPr>
      </w:pPr>
      <w:r>
        <w:rPr>
          <w:rFonts w:hint="eastAsia" w:ascii="宋体" w:hAnsi="宋体" w:eastAsia="宋体" w:cs="宋体"/>
          <w:color w:val="auto"/>
          <w:sz w:val="24"/>
        </w:rPr>
        <w:t xml:space="preserve">A.“腐败行为”系指在招标、采购和合同执行等过程中，为谋求利益、影响相关人员而提供、给予、接受或索取任何有价物的行为。</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B.“欺诈行为”系指为了影响招标、采购和合同执行等过程而隐瞒事实，从而给买方造成损害的行为，其中包括投标人之间的串通行为。</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13.4 在买方全部或部分终止合同的情况下，卖方应按《合同专用条款》的规定对买方给予补偿。</w:t>
      </w:r>
      <w:r/>
    </w:p>
    <w:p>
      <w:pPr>
        <w:ind w:firstLine="480"/>
        <w:rPr>
          <w:rFonts w:hint="eastAsia" w:ascii="宋体" w:hAnsi="宋体" w:eastAsia="宋体" w:cs="宋体"/>
          <w:color w:val="auto"/>
          <w:sz w:val="24"/>
        </w:rPr>
      </w:pPr>
      <w:r>
        <w:rPr>
          <w:rFonts w:hint="eastAsia" w:ascii="宋体" w:hAnsi="宋体" w:eastAsia="宋体" w:cs="宋体"/>
          <w:color w:val="auto"/>
          <w:sz w:val="24"/>
        </w:rPr>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第十四条 争议的解决</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14.1 因执行本合同所发生的或者与本合同有关的一切争议由合同双方通过友好协商解决，如果不能协商一致，按《合同专用条款》规定的方式解决。</w:t>
      </w:r>
      <w:r/>
    </w:p>
    <w:p>
      <w:pPr>
        <w:ind w:firstLine="480"/>
        <w:rPr>
          <w:rFonts w:hint="eastAsia" w:ascii="宋体" w:hAnsi="宋体" w:eastAsia="宋体" w:cs="宋体"/>
          <w:color w:val="auto"/>
          <w:sz w:val="24"/>
        </w:rPr>
      </w:pPr>
      <w:r>
        <w:rPr>
          <w:rFonts w:hint="eastAsia" w:ascii="宋体" w:hAnsi="宋体" w:eastAsia="宋体" w:cs="宋体"/>
          <w:color w:val="auto"/>
          <w:sz w:val="24"/>
        </w:rPr>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第十五条 适用法律</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15.1 本合同的执行和争议的解决适用中华人民共和国的法律并按中华人民共和国的法律进行解释。</w:t>
      </w:r>
      <w:r/>
    </w:p>
    <w:p>
      <w:pPr>
        <w:ind w:firstLine="480"/>
        <w:rPr>
          <w:rFonts w:hint="eastAsia" w:ascii="宋体" w:hAnsi="宋体" w:eastAsia="宋体" w:cs="宋体"/>
          <w:color w:val="auto"/>
          <w:sz w:val="24"/>
        </w:rPr>
      </w:pPr>
      <w:r>
        <w:rPr>
          <w:rFonts w:hint="eastAsia" w:ascii="宋体" w:hAnsi="宋体" w:eastAsia="宋体" w:cs="宋体"/>
          <w:color w:val="auto"/>
          <w:sz w:val="24"/>
        </w:rPr>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第十六条  权利保证</w:t>
      </w:r>
      <w:r/>
    </w:p>
    <w:p>
      <w:pPr>
        <w:ind w:firstLine="480"/>
        <w:spacing w:line="320" w:lineRule="exact"/>
        <w:rPr>
          <w:rFonts w:hint="eastAsia" w:ascii="宋体" w:hAnsi="宋体" w:eastAsia="宋体" w:cs="宋体"/>
          <w:color w:val="auto"/>
          <w:sz w:val="24"/>
        </w:rPr>
      </w:pPr>
      <w:r>
        <w:rPr>
          <w:rFonts w:hint="eastAsia" w:ascii="宋体" w:hAnsi="宋体" w:eastAsia="宋体" w:cs="宋体"/>
          <w:color w:val="auto"/>
          <w:sz w:val="24"/>
        </w:rPr>
        <w:t xml:space="preserve">16.1卖方应保证买方在使用合同标的时不受第三方提出侵犯其专利权、版权、商标权或其他权利的起诉。一旦出现侵权，卖方承担全部责任。</w:t>
      </w:r>
      <w:r/>
    </w:p>
    <w:p>
      <w:pPr>
        <w:ind w:firstLine="480"/>
        <w:spacing w:line="320" w:lineRule="exact"/>
        <w:rPr>
          <w:rFonts w:hint="eastAsia" w:ascii="宋体" w:hAnsi="宋体" w:eastAsia="宋体" w:cs="宋体"/>
          <w:color w:val="auto"/>
          <w:sz w:val="24"/>
        </w:rPr>
      </w:pPr>
      <w:r>
        <w:rPr>
          <w:rFonts w:hint="eastAsia" w:ascii="宋体" w:hAnsi="宋体" w:eastAsia="宋体" w:cs="宋体"/>
          <w:color w:val="auto"/>
          <w:sz w:val="24"/>
        </w:rPr>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第十七条  保密 </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17.1卖方在本合同履行的过程中，或为履行本合同的需要，从买方所获得的、有关买方和/或属于买方的任何信息包括买方工作方式方法与资料、技术资料、用户名单、发展战略及其他被认为是买方的信息，都是买方的秘密，卖方不得泄露给任何第三方。</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17.2上述秘密，卖方只能用于本合同，而且只能由卖方相应的人员使用；没有必要接触的卖方人员，不得接触。</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17.3卖方应当采取适当有效的方式保护所获取的上述秘密。</w:t>
      </w:r>
      <w:r/>
    </w:p>
    <w:p>
      <w:pPr>
        <w:ind w:firstLine="480"/>
        <w:spacing w:line="320" w:lineRule="exact"/>
        <w:rPr>
          <w:rFonts w:hint="eastAsia" w:ascii="宋体" w:hAnsi="宋体" w:eastAsia="宋体" w:cs="宋体"/>
          <w:color w:val="auto"/>
          <w:sz w:val="24"/>
        </w:rPr>
      </w:pPr>
      <w:r>
        <w:rPr>
          <w:rFonts w:hint="eastAsia" w:ascii="宋体" w:hAnsi="宋体" w:eastAsia="宋体" w:cs="宋体"/>
          <w:color w:val="auto"/>
          <w:sz w:val="24"/>
        </w:rPr>
        <w:t xml:space="preserve">17.4卖方违反本合同所规定的在保密方面的义务，应按合同总价的50%承担违约金或按照实际损失支付赔偿金；买方有权选择以上两种方式之一要求卖方承担违约责任。本违约金和赔偿金的支付义务独立于其它违约义务。</w:t>
      </w:r>
      <w:r/>
    </w:p>
    <w:p>
      <w:pPr>
        <w:ind w:firstLine="480"/>
        <w:spacing w:line="320" w:lineRule="exact"/>
        <w:rPr>
          <w:rFonts w:hint="eastAsia" w:ascii="宋体" w:hAnsi="宋体" w:eastAsia="宋体" w:cs="宋体"/>
          <w:color w:val="auto"/>
          <w:sz w:val="24"/>
        </w:rPr>
      </w:pPr>
      <w:r>
        <w:rPr>
          <w:rFonts w:hint="eastAsia" w:ascii="宋体" w:hAnsi="宋体" w:eastAsia="宋体" w:cs="宋体"/>
          <w:color w:val="auto"/>
          <w:sz w:val="24"/>
        </w:rPr>
      </w:r>
      <w:r/>
    </w:p>
    <w:p>
      <w:pPr>
        <w:ind w:firstLine="480"/>
        <w:spacing w:line="320" w:lineRule="exact"/>
        <w:rPr>
          <w:rFonts w:hint="eastAsia" w:ascii="宋体" w:hAnsi="宋体" w:eastAsia="宋体" w:cs="宋体"/>
          <w:color w:val="auto"/>
          <w:sz w:val="24"/>
        </w:rPr>
      </w:pPr>
      <w:r>
        <w:rPr>
          <w:rFonts w:hint="eastAsia" w:ascii="宋体" w:hAnsi="宋体" w:eastAsia="宋体" w:cs="宋体"/>
          <w:color w:val="auto"/>
          <w:sz w:val="24"/>
        </w:rPr>
        <w:t xml:space="preserve">第十八条 合同生效及其他</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18.1 本合同在合同协议书（合同附件1）规定的条件全部满足后生效。</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18.2合同项下全部权利义务履行完毕后，本合同自动失效。合同履行期满后，合同项下任何尚未了结的债权和债务不受合同履行期的影响，债务人仍应向债权人履行其义务。</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18.3 合同双方各自承担与本合同有关的应负税费。</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18.4合同双方除非《合同专用条款》另有规定，所有合同文件及相关的修订和合同双方之间的书面联络，应使用中文书就并按中文解释。</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18.5对本合同的任何补充、增添或修改以书面方式进行。</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18.6没有另一方的事先书面同意，合同任何一方不得将合同项下的任何权利和义务转让给第三方。</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18.7任何一方在执行任何合同条款和条件时准予对方的放松、宽容、延迟、放纵或时间，不得损害、影响或限制该方在合同之下的权利；任何一方对合同的任何违背、任何免责也不应导致对任何后面或延续的合同的免责或弃权。</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18.8合同条款中的标题和边注仅供参考使用，不应视为合同的一部分，也不影响本文的解释。</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18.9合同构成买方和卖方之间就合同主要内容方面的完整协议，并且取代合同签订前所有关于这方面的通讯、协商、协议(不论是书面的，还是口头的)。</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18.10买方应当自政府采购合同签订之日起2个工作日内，将政府采购合同在省级以上人民政府财政部门指定的媒体上公告，但政府采购合同中涉及国家秘密、商业秘密的内容除外。</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18.11合同双方之间的一切联络往来应以书面形式按《合同专用条款》中规定的通讯地址发往合同另一方。有关重要事项的传真应及时用挂号信或快件确认。</w:t>
      </w:r>
      <w:r/>
    </w:p>
    <w:p>
      <w:pPr>
        <w:ind w:firstLine="600"/>
        <w:jc w:val="center"/>
        <w:rPr>
          <w:rFonts w:hint="eastAsia" w:ascii="宋体" w:hAnsi="宋体" w:eastAsia="宋体" w:cs="宋体"/>
          <w:color w:val="auto"/>
          <w:sz w:val="30"/>
          <w:szCs w:val="30"/>
        </w:rPr>
        <w:sectPr>
          <w:headerReference w:type="default" r:id="rId11"/>
          <w:footerReference w:type="default" r:id="rId15"/>
          <w:footnotePr/>
          <w:endnotePr/>
          <w:type w:val="nextPage"/>
          <w:pgSz w:w="11906" w:h="16838" w:orient="portrait"/>
          <w:pgMar w:top="1440" w:right="1803" w:bottom="1440" w:left="1803" w:header="851" w:footer="992" w:gutter="0"/>
          <w:cols w:num="1" w:sep="0" w:space="1701" w:equalWidth="1"/>
          <w:docGrid w:linePitch="360"/>
        </w:sectPr>
      </w:pPr>
      <w:r>
        <w:rPr>
          <w:rFonts w:hint="eastAsia" w:ascii="宋体" w:hAnsi="宋体" w:eastAsia="宋体" w:cs="宋体"/>
          <w:color w:val="auto"/>
          <w:sz w:val="30"/>
          <w:szCs w:val="30"/>
        </w:rPr>
      </w:r>
      <w:r/>
    </w:p>
    <w:p>
      <w:pPr>
        <w:ind w:firstLine="600"/>
        <w:jc w:val="center"/>
        <w:spacing w:line="360" w:lineRule="auto"/>
        <w:rPr>
          <w:rFonts w:hint="eastAsia" w:ascii="宋体" w:hAnsi="宋体" w:eastAsia="宋体" w:cs="宋体"/>
          <w:color w:val="auto"/>
          <w:sz w:val="30"/>
          <w:szCs w:val="30"/>
        </w:rPr>
      </w:pPr>
      <w:r>
        <w:rPr>
          <w:rFonts w:hint="eastAsia" w:ascii="宋体" w:hAnsi="宋体" w:eastAsia="宋体" w:cs="宋体"/>
          <w:color w:val="auto"/>
          <w:sz w:val="30"/>
          <w:szCs w:val="30"/>
        </w:rPr>
        <w:t xml:space="preserve">合同专用条款</w:t>
      </w:r>
      <w:r/>
    </w:p>
    <w:p>
      <w:pPr>
        <w:jc w:val="center"/>
        <w:rPr>
          <w:rFonts w:hint="eastAsia" w:ascii="宋体" w:hAnsi="宋体" w:eastAsia="宋体" w:cs="宋体"/>
          <w:color w:val="auto"/>
          <w:sz w:val="24"/>
        </w:rPr>
      </w:pPr>
      <w:r>
        <w:rPr>
          <w:rFonts w:hint="eastAsia" w:ascii="宋体" w:hAnsi="宋体" w:eastAsia="宋体" w:cs="宋体"/>
          <w:color w:val="auto"/>
          <w:sz w:val="24"/>
        </w:rPr>
      </w:r>
      <w:r/>
    </w:p>
    <w:p>
      <w:pPr>
        <w:ind w:firstLine="480"/>
        <w:spacing w:line="360" w:lineRule="exact"/>
        <w:rPr>
          <w:rFonts w:hint="eastAsia" w:ascii="宋体" w:hAnsi="宋体" w:eastAsia="宋体" w:cs="宋体"/>
          <w:color w:val="auto"/>
          <w:sz w:val="24"/>
        </w:rPr>
      </w:pPr>
      <w:r>
        <w:rPr>
          <w:rFonts w:hint="eastAsia" w:ascii="宋体" w:hAnsi="宋体" w:eastAsia="宋体" w:cs="宋体"/>
          <w:color w:val="auto"/>
          <w:sz w:val="24"/>
        </w:rPr>
        <w:t xml:space="preserve">甲方（买方）：</w:t>
      </w:r>
      <w:r>
        <w:rPr>
          <w:rFonts w:hint="eastAsia" w:ascii="宋体" w:hAnsi="宋体" w:cs="宋体"/>
          <w:color w:val="auto"/>
          <w:sz w:val="24"/>
          <w:u w:val="single"/>
          <w:lang w:eastAsia="zh-CN"/>
        </w:rPr>
        <w:t xml:space="preserve">徐州市第一人民医院</w:t>
      </w:r>
      <w:r>
        <w:rPr>
          <w:rFonts w:hint="eastAsia" w:ascii="宋体" w:hAnsi="宋体" w:eastAsia="宋体" w:cs="宋体"/>
          <w:color w:val="auto"/>
          <w:sz w:val="24"/>
          <w:u w:val="single"/>
        </w:rPr>
        <w:t xml:space="preserve"> </w:t>
      </w:r>
      <w:r/>
    </w:p>
    <w:p>
      <w:pPr>
        <w:ind w:firstLine="480"/>
        <w:spacing w:line="360" w:lineRule="exact"/>
        <w:rPr>
          <w:rFonts w:hint="eastAsia" w:ascii="宋体" w:hAnsi="宋体" w:eastAsia="宋体" w:cs="宋体"/>
          <w:color w:val="auto"/>
          <w:sz w:val="24"/>
        </w:rPr>
      </w:pPr>
      <w:r>
        <w:rPr>
          <w:rFonts w:hint="eastAsia" w:ascii="宋体" w:hAnsi="宋体" w:eastAsia="宋体" w:cs="宋体"/>
          <w:color w:val="auto"/>
          <w:sz w:val="24"/>
        </w:rPr>
        <w:t xml:space="preserve">乙方（卖方）：</w:t>
      </w:r>
      <w:r>
        <w:rPr>
          <w:rFonts w:hint="eastAsia" w:ascii="宋体" w:hAnsi="宋体" w:eastAsia="宋体" w:cs="宋体"/>
          <w:color w:val="auto"/>
          <w:sz w:val="24"/>
          <w:u w:val="single"/>
        </w:rPr>
        <w:t xml:space="preserve">             </w:t>
      </w:r>
      <w:r>
        <w:rPr>
          <w:rFonts w:hint="eastAsia" w:ascii="宋体" w:hAnsi="宋体" w:eastAsia="宋体" w:cs="宋体"/>
          <w:color w:val="auto"/>
          <w:sz w:val="24"/>
        </w:rPr>
        <w:t xml:space="preserve"> </w:t>
      </w:r>
      <w:r/>
    </w:p>
    <w:p>
      <w:pPr>
        <w:ind w:firstLine="480"/>
        <w:rPr>
          <w:rFonts w:hint="eastAsia" w:ascii="宋体" w:hAnsi="宋体" w:eastAsia="宋体" w:cs="宋体"/>
          <w:color w:val="auto"/>
          <w:sz w:val="24"/>
        </w:rPr>
      </w:pPr>
      <w:r>
        <w:rPr>
          <w:rFonts w:hint="eastAsia" w:ascii="宋体" w:hAnsi="宋体" w:eastAsia="宋体" w:cs="宋体"/>
          <w:color w:val="auto"/>
          <w:sz w:val="24"/>
        </w:rPr>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《合同专用条款》中的条款项号是与《合同通用条款》中的条款项号对应的，其增加的内容和条款，是对《合同通用条款》的补充、修改和完善，如果有矛盾的话，以《合同专用条款》为准。</w:t>
      </w:r>
      <w:r/>
    </w:p>
    <w:p>
      <w:pPr>
        <w:ind w:firstLine="480"/>
        <w:spacing w:line="440" w:lineRule="exact"/>
        <w:rPr>
          <w:rFonts w:hint="eastAsia" w:ascii="宋体" w:hAnsi="宋体" w:eastAsia="宋体" w:cs="宋体"/>
          <w:color w:val="auto"/>
          <w:sz w:val="24"/>
        </w:rPr>
      </w:pPr>
      <w:r>
        <w:rPr>
          <w:rFonts w:hint="eastAsia" w:ascii="宋体" w:hAnsi="宋体" w:eastAsia="宋体" w:cs="宋体"/>
          <w:bCs/>
          <w:color w:val="auto"/>
          <w:sz w:val="24"/>
        </w:rPr>
        <w:t xml:space="preserve">依照《中华人民共和国民法典》、《中华人民共和国产品质量法》、《医疗器械监督管理条例》等法律法规的相关规定，遵循平等、自愿、公平和诚实信用的原则，双方就设备采购相关事宜达成一致意见，特签订本合同，以明确双方</w:t>
      </w:r>
      <w:r>
        <w:rPr>
          <w:rFonts w:hint="eastAsia" w:ascii="宋体" w:hAnsi="宋体" w:eastAsia="宋体" w:cs="宋体"/>
          <w:color w:val="auto"/>
          <w:sz w:val="24"/>
        </w:rPr>
        <w:t xml:space="preserve">的权利、义务，确保合同双方共同执行。</w:t>
      </w:r>
      <w:r/>
    </w:p>
    <w:p>
      <w:pPr>
        <w:numPr>
          <w:ilvl w:val="0"/>
          <w:numId w:val="2"/>
        </w:numPr>
        <w:spacing w:line="360" w:lineRule="exact"/>
        <w:rPr>
          <w:rStyle w:val="949"/>
          <w:rFonts w:hint="eastAsia" w:ascii="宋体" w:hAnsi="宋体" w:eastAsia="宋体" w:cs="宋体"/>
          <w:b/>
          <w:color w:val="auto"/>
          <w:sz w:val="24"/>
        </w:rPr>
      </w:pPr>
      <w:r>
        <w:rPr>
          <w:rFonts w:hint="eastAsia" w:ascii="宋体" w:hAnsi="宋体" w:eastAsia="宋体" w:cs="宋体"/>
          <w:b/>
          <w:color w:val="auto"/>
          <w:sz w:val="24"/>
        </w:rPr>
        <w:t xml:space="preserve">合同标的</w:t>
      </w:r>
      <w:r/>
    </w:p>
    <w:p>
      <w:pPr>
        <w:ind w:left="426"/>
        <w:spacing w:line="360" w:lineRule="exact"/>
        <w:rPr>
          <w:rStyle w:val="949"/>
          <w:rFonts w:hint="eastAsia" w:ascii="宋体" w:hAnsi="宋体" w:eastAsia="宋体" w:cs="宋体"/>
          <w:color w:val="auto"/>
          <w:sz w:val="24"/>
        </w:rPr>
      </w:pPr>
      <w:r>
        <w:rPr>
          <w:rStyle w:val="949"/>
          <w:rFonts w:hint="eastAsia" w:ascii="宋体" w:hAnsi="宋体" w:eastAsia="宋体" w:cs="宋体"/>
          <w:color w:val="auto"/>
          <w:sz w:val="24"/>
        </w:rPr>
        <w:t xml:space="preserve">1.1产品名称、型号、规格、数量及价款</w:t>
      </w:r>
      <w:r/>
    </w:p>
    <w:tbl>
      <w:tblPr>
        <w:tblStyle w:val="802"/>
        <w:tblW w:w="8678"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843"/>
        <w:gridCol w:w="1273"/>
        <w:gridCol w:w="1101"/>
        <w:gridCol w:w="1088"/>
        <w:gridCol w:w="918"/>
        <w:gridCol w:w="1075"/>
        <w:gridCol w:w="1380"/>
      </w:tblGrid>
      <w:tr>
        <w:trPr>
          <w:jc w:val="center"/>
          <w:trHeight w:val="489"/>
        </w:trPr>
        <w:tc>
          <w:tcPr>
            <w:tcW w:w="1843" w:type="dxa"/>
            <w:vAlign w:val="center"/>
            <w:textDirection w:val="lrTb"/>
            <w:noWrap w:val="false"/>
          </w:tcPr>
          <w:p>
            <w:pPr>
              <w:jc w:val="center"/>
              <w:rPr>
                <w:rFonts w:hint="eastAsia" w:ascii="宋体" w:hAnsi="宋体" w:eastAsia="宋体" w:cs="宋体"/>
                <w:color w:val="auto"/>
                <w:sz w:val="24"/>
              </w:rPr>
            </w:pPr>
            <w:r>
              <w:rPr>
                <w:rFonts w:hint="eastAsia" w:ascii="宋体" w:hAnsi="宋体" w:eastAsia="宋体" w:cs="宋体"/>
                <w:color w:val="auto"/>
                <w:sz w:val="24"/>
                <w:lang w:bidi="ar"/>
              </w:rPr>
              <w:t xml:space="preserve">产品名称</w:t>
            </w:r>
            <w:r/>
          </w:p>
        </w:tc>
        <w:tc>
          <w:tcPr>
            <w:tcW w:w="1273" w:type="dxa"/>
            <w:vAlign w:val="center"/>
            <w:textDirection w:val="lrTb"/>
            <w:noWrap w:val="false"/>
          </w:tcPr>
          <w:p>
            <w:pPr>
              <w:jc w:val="center"/>
              <w:rPr>
                <w:rFonts w:hint="eastAsia" w:ascii="宋体" w:hAnsi="宋体" w:eastAsia="宋体" w:cs="宋体"/>
                <w:color w:val="auto"/>
                <w:sz w:val="24"/>
              </w:rPr>
            </w:pPr>
            <w:r>
              <w:rPr>
                <w:rFonts w:hint="eastAsia" w:ascii="宋体" w:hAnsi="宋体" w:eastAsia="宋体" w:cs="宋体"/>
                <w:color w:val="auto"/>
                <w:sz w:val="24"/>
              </w:rPr>
              <w:t xml:space="preserve">型号</w:t>
            </w:r>
            <w:r/>
          </w:p>
        </w:tc>
        <w:tc>
          <w:tcPr>
            <w:tcW w:w="1101" w:type="dxa"/>
            <w:vAlign w:val="center"/>
            <w:textDirection w:val="lrTb"/>
            <w:noWrap w:val="false"/>
          </w:tcPr>
          <w:p>
            <w:pPr>
              <w:jc w:val="center"/>
              <w:rPr>
                <w:rFonts w:hint="eastAsia" w:ascii="宋体" w:hAnsi="宋体" w:eastAsia="宋体" w:cs="宋体"/>
                <w:color w:val="auto"/>
                <w:sz w:val="24"/>
              </w:rPr>
            </w:pPr>
            <w:r>
              <w:rPr>
                <w:rFonts w:hint="eastAsia" w:ascii="宋体" w:hAnsi="宋体" w:eastAsia="宋体" w:cs="宋体"/>
                <w:color w:val="auto"/>
                <w:sz w:val="24"/>
                <w:lang w:bidi="ar"/>
              </w:rPr>
              <w:t xml:space="preserve">单价（元）</w:t>
            </w:r>
            <w:r/>
          </w:p>
        </w:tc>
        <w:tc>
          <w:tcPr>
            <w:tcW w:w="1088" w:type="dxa"/>
            <w:vAlign w:val="center"/>
            <w:textDirection w:val="lrTb"/>
            <w:noWrap w:val="false"/>
          </w:tcPr>
          <w:p>
            <w:pPr>
              <w:jc w:val="center"/>
              <w:rPr>
                <w:rFonts w:hint="eastAsia" w:ascii="宋体" w:hAnsi="宋体" w:eastAsia="宋体" w:cs="宋体"/>
                <w:color w:val="auto"/>
                <w:sz w:val="24"/>
                <w:lang w:bidi="ar"/>
              </w:rPr>
            </w:pPr>
            <w:r>
              <w:rPr>
                <w:rFonts w:hint="eastAsia" w:ascii="宋体" w:hAnsi="宋体" w:eastAsia="宋体" w:cs="宋体"/>
                <w:color w:val="auto"/>
                <w:sz w:val="24"/>
                <w:lang w:bidi="ar"/>
              </w:rPr>
              <w:t xml:space="preserve">单位</w:t>
            </w:r>
            <w:r/>
          </w:p>
        </w:tc>
        <w:tc>
          <w:tcPr>
            <w:tcW w:w="918" w:type="dxa"/>
            <w:vAlign w:val="center"/>
            <w:textDirection w:val="lrTb"/>
            <w:noWrap w:val="false"/>
          </w:tcPr>
          <w:p>
            <w:pPr>
              <w:jc w:val="center"/>
              <w:rPr>
                <w:rFonts w:hint="eastAsia" w:ascii="宋体" w:hAnsi="宋体" w:eastAsia="宋体" w:cs="宋体"/>
                <w:color w:val="auto"/>
                <w:sz w:val="24"/>
              </w:rPr>
            </w:pPr>
            <w:r>
              <w:rPr>
                <w:rFonts w:hint="eastAsia" w:ascii="宋体" w:hAnsi="宋体" w:eastAsia="宋体" w:cs="宋体"/>
                <w:color w:val="auto"/>
                <w:sz w:val="24"/>
                <w:lang w:bidi="ar"/>
              </w:rPr>
              <w:t xml:space="preserve">数量</w:t>
            </w:r>
            <w:r/>
          </w:p>
        </w:tc>
        <w:tc>
          <w:tcPr>
            <w:tcW w:w="1075" w:type="dxa"/>
            <w:vAlign w:val="center"/>
            <w:textDirection w:val="lrTb"/>
            <w:noWrap w:val="false"/>
          </w:tcPr>
          <w:p>
            <w:pPr>
              <w:jc w:val="center"/>
              <w:rPr>
                <w:rFonts w:hint="eastAsia" w:ascii="宋体" w:hAnsi="宋体" w:eastAsia="宋体" w:cs="宋体"/>
                <w:color w:val="auto"/>
                <w:sz w:val="24"/>
              </w:rPr>
            </w:pPr>
            <w:r>
              <w:rPr>
                <w:rFonts w:hint="eastAsia" w:ascii="宋体" w:hAnsi="宋体" w:eastAsia="宋体" w:cs="宋体"/>
                <w:color w:val="auto"/>
                <w:sz w:val="24"/>
                <w:lang w:bidi="ar"/>
              </w:rPr>
              <w:t xml:space="preserve">金额（元）</w:t>
            </w:r>
            <w:r/>
          </w:p>
        </w:tc>
        <w:tc>
          <w:tcPr>
            <w:tcW w:w="1380" w:type="dxa"/>
            <w:vAlign w:val="center"/>
            <w:textDirection w:val="lrTb"/>
            <w:noWrap w:val="false"/>
          </w:tcPr>
          <w:p>
            <w:pPr>
              <w:jc w:val="center"/>
              <w:rPr>
                <w:rFonts w:hint="eastAsia" w:ascii="宋体" w:hAnsi="宋体" w:eastAsia="宋体" w:cs="宋体"/>
                <w:color w:val="auto"/>
                <w:sz w:val="24"/>
                <w:lang w:bidi="ar"/>
              </w:rPr>
            </w:pPr>
            <w:r>
              <w:rPr>
                <w:rFonts w:hint="eastAsia" w:ascii="宋体" w:hAnsi="宋体" w:eastAsia="宋体" w:cs="宋体"/>
                <w:color w:val="auto"/>
                <w:sz w:val="24"/>
                <w:lang w:bidi="ar"/>
              </w:rPr>
              <w:t xml:space="preserve">备注</w:t>
            </w:r>
            <w:r/>
          </w:p>
        </w:tc>
      </w:tr>
      <w:tr>
        <w:trPr>
          <w:jc w:val="center"/>
          <w:trHeight w:val="567" w:hRule="exact"/>
        </w:trPr>
        <w:tc>
          <w:tcPr>
            <w:tcW w:w="1843" w:type="dxa"/>
            <w:vAlign w:val="center"/>
            <w:textDirection w:val="lrTb"/>
            <w:noWrap w:val="false"/>
          </w:tcPr>
          <w:p>
            <w:pPr>
              <w:jc w:val="center"/>
              <w:rPr>
                <w:rFonts w:hint="eastAsia" w:ascii="宋体" w:hAnsi="宋体" w:eastAsia="宋体" w:cs="宋体"/>
                <w:color w:val="auto"/>
                <w:sz w:val="24"/>
                <w:lang w:bidi="ar"/>
              </w:rPr>
            </w:pPr>
            <w:r>
              <w:rPr>
                <w:rFonts w:hint="eastAsia" w:ascii="宋体" w:hAnsi="宋体" w:eastAsia="宋体" w:cs="宋体"/>
                <w:color w:val="auto"/>
                <w:sz w:val="24"/>
                <w:lang w:bidi="ar"/>
              </w:rPr>
            </w:r>
            <w:r/>
          </w:p>
        </w:tc>
        <w:tc>
          <w:tcPr>
            <w:tcW w:w="1273" w:type="dxa"/>
            <w:vAlign w:val="center"/>
            <w:textDirection w:val="lrTb"/>
            <w:noWrap w:val="false"/>
          </w:tcPr>
          <w:p>
            <w:pPr>
              <w:jc w:val="center"/>
              <w:rPr>
                <w:rFonts w:hint="eastAsia" w:ascii="宋体" w:hAnsi="宋体" w:eastAsia="宋体" w:cs="宋体"/>
                <w:color w:val="auto"/>
                <w:sz w:val="24"/>
                <w:lang w:bidi="ar"/>
              </w:rPr>
            </w:pPr>
            <w:r>
              <w:rPr>
                <w:rFonts w:hint="eastAsia" w:ascii="宋体" w:hAnsi="宋体" w:eastAsia="宋体" w:cs="宋体"/>
                <w:color w:val="auto"/>
                <w:sz w:val="24"/>
                <w:lang w:bidi="ar"/>
              </w:rPr>
            </w:r>
            <w:r/>
          </w:p>
        </w:tc>
        <w:tc>
          <w:tcPr>
            <w:tcW w:w="1101" w:type="dxa"/>
            <w:vAlign w:val="center"/>
            <w:textDirection w:val="lrTb"/>
            <w:noWrap w:val="false"/>
          </w:tcPr>
          <w:p>
            <w:pPr>
              <w:jc w:val="center"/>
              <w:rPr>
                <w:rFonts w:hint="eastAsia" w:ascii="宋体" w:hAnsi="宋体" w:eastAsia="宋体" w:cs="宋体"/>
                <w:color w:val="auto"/>
                <w:sz w:val="24"/>
                <w:lang w:bidi="ar"/>
              </w:rPr>
            </w:pPr>
            <w:r>
              <w:rPr>
                <w:rFonts w:hint="eastAsia" w:ascii="宋体" w:hAnsi="宋体" w:eastAsia="宋体" w:cs="宋体"/>
                <w:color w:val="auto"/>
                <w:sz w:val="24"/>
                <w:lang w:bidi="ar"/>
              </w:rPr>
            </w:r>
            <w:r/>
          </w:p>
        </w:tc>
        <w:tc>
          <w:tcPr>
            <w:tcW w:w="1088" w:type="dxa"/>
            <w:vAlign w:val="center"/>
            <w:textDirection w:val="lrTb"/>
            <w:noWrap w:val="false"/>
          </w:tcPr>
          <w:p>
            <w:pPr>
              <w:jc w:val="center"/>
              <w:rPr>
                <w:rFonts w:hint="eastAsia" w:ascii="宋体" w:hAnsi="宋体" w:eastAsia="宋体" w:cs="宋体"/>
                <w:color w:val="auto"/>
                <w:sz w:val="24"/>
                <w:lang w:bidi="ar"/>
              </w:rPr>
            </w:pPr>
            <w:r>
              <w:rPr>
                <w:rFonts w:hint="eastAsia" w:ascii="宋体" w:hAnsi="宋体" w:eastAsia="宋体" w:cs="宋体"/>
                <w:color w:val="auto"/>
                <w:sz w:val="24"/>
                <w:lang w:bidi="ar"/>
              </w:rPr>
            </w:r>
            <w:r/>
          </w:p>
        </w:tc>
        <w:tc>
          <w:tcPr>
            <w:tcW w:w="918" w:type="dxa"/>
            <w:vAlign w:val="center"/>
            <w:textDirection w:val="lrTb"/>
            <w:noWrap w:val="false"/>
          </w:tcPr>
          <w:p>
            <w:pPr>
              <w:jc w:val="center"/>
              <w:rPr>
                <w:rFonts w:hint="eastAsia" w:ascii="宋体" w:hAnsi="宋体" w:eastAsia="宋体" w:cs="宋体"/>
                <w:color w:val="auto"/>
                <w:sz w:val="24"/>
                <w:lang w:bidi="ar"/>
              </w:rPr>
            </w:pPr>
            <w:r>
              <w:rPr>
                <w:rFonts w:hint="eastAsia" w:ascii="宋体" w:hAnsi="宋体" w:eastAsia="宋体" w:cs="宋体"/>
                <w:color w:val="auto"/>
                <w:sz w:val="24"/>
                <w:lang w:bidi="ar"/>
              </w:rPr>
            </w:r>
            <w:r/>
          </w:p>
        </w:tc>
        <w:tc>
          <w:tcPr>
            <w:tcW w:w="1075" w:type="dxa"/>
            <w:vAlign w:val="center"/>
            <w:textDirection w:val="lrTb"/>
            <w:noWrap w:val="false"/>
          </w:tcPr>
          <w:p>
            <w:pPr>
              <w:jc w:val="center"/>
              <w:rPr>
                <w:rFonts w:hint="eastAsia" w:ascii="宋体" w:hAnsi="宋体" w:eastAsia="宋体" w:cs="宋体"/>
                <w:color w:val="auto"/>
                <w:sz w:val="24"/>
                <w:lang w:bidi="ar"/>
              </w:rPr>
            </w:pPr>
            <w:r>
              <w:rPr>
                <w:rFonts w:hint="eastAsia" w:ascii="宋体" w:hAnsi="宋体" w:eastAsia="宋体" w:cs="宋体"/>
                <w:color w:val="auto"/>
                <w:sz w:val="24"/>
                <w:lang w:bidi="ar"/>
              </w:rPr>
            </w:r>
            <w:r/>
          </w:p>
        </w:tc>
        <w:tc>
          <w:tcPr>
            <w:tcW w:w="1380" w:type="dxa"/>
            <w:vAlign w:val="center"/>
            <w:textDirection w:val="lrTb"/>
            <w:noWrap w:val="false"/>
          </w:tcPr>
          <w:p>
            <w:pPr>
              <w:jc w:val="center"/>
              <w:rPr>
                <w:rFonts w:hint="eastAsia" w:ascii="宋体" w:hAnsi="宋体" w:eastAsia="宋体" w:cs="宋体"/>
                <w:color w:val="auto"/>
                <w:sz w:val="24"/>
                <w:lang w:bidi="ar"/>
              </w:rPr>
            </w:pPr>
            <w:r>
              <w:rPr>
                <w:rFonts w:hint="eastAsia" w:ascii="宋体" w:hAnsi="宋体" w:eastAsia="宋体" w:cs="宋体"/>
                <w:color w:val="auto"/>
                <w:sz w:val="24"/>
                <w:lang w:bidi="ar"/>
              </w:rPr>
            </w:r>
            <w:r/>
          </w:p>
        </w:tc>
      </w:tr>
      <w:tr>
        <w:trPr>
          <w:jc w:val="center"/>
          <w:trHeight w:val="567" w:hRule="exact"/>
        </w:trPr>
        <w:tc>
          <w:tcPr>
            <w:tcW w:w="1843" w:type="dxa"/>
            <w:vAlign w:val="center"/>
            <w:textDirection w:val="lrTb"/>
            <w:noWrap w:val="false"/>
          </w:tcPr>
          <w:p>
            <w:pPr>
              <w:jc w:val="center"/>
              <w:rPr>
                <w:rFonts w:hint="eastAsia" w:ascii="宋体" w:hAnsi="宋体" w:eastAsia="宋体" w:cs="宋体"/>
                <w:color w:val="auto"/>
                <w:sz w:val="24"/>
                <w:lang w:bidi="ar"/>
              </w:rPr>
            </w:pPr>
            <w:r>
              <w:rPr>
                <w:rFonts w:hint="eastAsia" w:ascii="宋体" w:hAnsi="宋体" w:eastAsia="宋体" w:cs="宋体"/>
                <w:color w:val="auto"/>
                <w:sz w:val="24"/>
                <w:lang w:bidi="ar"/>
              </w:rPr>
            </w:r>
            <w:r/>
          </w:p>
        </w:tc>
        <w:tc>
          <w:tcPr>
            <w:tcW w:w="1273" w:type="dxa"/>
            <w:vAlign w:val="center"/>
            <w:textDirection w:val="lrTb"/>
            <w:noWrap w:val="false"/>
          </w:tcPr>
          <w:p>
            <w:pPr>
              <w:jc w:val="center"/>
              <w:rPr>
                <w:rFonts w:hint="eastAsia" w:ascii="宋体" w:hAnsi="宋体" w:eastAsia="宋体" w:cs="宋体"/>
                <w:color w:val="auto"/>
                <w:sz w:val="24"/>
                <w:lang w:bidi="ar"/>
              </w:rPr>
            </w:pPr>
            <w:r>
              <w:rPr>
                <w:rFonts w:hint="eastAsia" w:ascii="宋体" w:hAnsi="宋体" w:eastAsia="宋体" w:cs="宋体"/>
                <w:color w:val="auto"/>
                <w:sz w:val="24"/>
                <w:lang w:bidi="ar"/>
              </w:rPr>
            </w:r>
            <w:r/>
          </w:p>
        </w:tc>
        <w:tc>
          <w:tcPr>
            <w:tcW w:w="1101" w:type="dxa"/>
            <w:vAlign w:val="center"/>
            <w:textDirection w:val="lrTb"/>
            <w:noWrap w:val="false"/>
          </w:tcPr>
          <w:p>
            <w:pPr>
              <w:jc w:val="center"/>
              <w:rPr>
                <w:rFonts w:hint="eastAsia" w:ascii="宋体" w:hAnsi="宋体" w:eastAsia="宋体" w:cs="宋体"/>
                <w:color w:val="auto"/>
                <w:sz w:val="24"/>
                <w:lang w:bidi="ar"/>
              </w:rPr>
            </w:pPr>
            <w:r>
              <w:rPr>
                <w:rFonts w:hint="eastAsia" w:ascii="宋体" w:hAnsi="宋体" w:eastAsia="宋体" w:cs="宋体"/>
                <w:color w:val="auto"/>
                <w:sz w:val="24"/>
                <w:lang w:bidi="ar"/>
              </w:rPr>
            </w:r>
            <w:r/>
          </w:p>
        </w:tc>
        <w:tc>
          <w:tcPr>
            <w:tcW w:w="1088" w:type="dxa"/>
            <w:vAlign w:val="center"/>
            <w:textDirection w:val="lrTb"/>
            <w:noWrap w:val="false"/>
          </w:tcPr>
          <w:p>
            <w:pPr>
              <w:jc w:val="center"/>
              <w:rPr>
                <w:rFonts w:hint="eastAsia" w:ascii="宋体" w:hAnsi="宋体" w:eastAsia="宋体" w:cs="宋体"/>
                <w:color w:val="auto"/>
                <w:sz w:val="24"/>
                <w:lang w:bidi="ar"/>
              </w:rPr>
            </w:pPr>
            <w:r>
              <w:rPr>
                <w:rFonts w:hint="eastAsia" w:ascii="宋体" w:hAnsi="宋体" w:eastAsia="宋体" w:cs="宋体"/>
                <w:color w:val="auto"/>
                <w:sz w:val="24"/>
                <w:lang w:bidi="ar"/>
              </w:rPr>
            </w:r>
            <w:r/>
          </w:p>
        </w:tc>
        <w:tc>
          <w:tcPr>
            <w:tcW w:w="918" w:type="dxa"/>
            <w:vAlign w:val="center"/>
            <w:textDirection w:val="lrTb"/>
            <w:noWrap w:val="false"/>
          </w:tcPr>
          <w:p>
            <w:pPr>
              <w:jc w:val="center"/>
              <w:rPr>
                <w:rFonts w:hint="eastAsia" w:ascii="宋体" w:hAnsi="宋体" w:eastAsia="宋体" w:cs="宋体"/>
                <w:color w:val="auto"/>
                <w:sz w:val="24"/>
                <w:lang w:bidi="ar"/>
              </w:rPr>
            </w:pPr>
            <w:r>
              <w:rPr>
                <w:rFonts w:hint="eastAsia" w:ascii="宋体" w:hAnsi="宋体" w:eastAsia="宋体" w:cs="宋体"/>
                <w:color w:val="auto"/>
                <w:sz w:val="24"/>
                <w:lang w:bidi="ar"/>
              </w:rPr>
            </w:r>
            <w:r/>
          </w:p>
        </w:tc>
        <w:tc>
          <w:tcPr>
            <w:tcW w:w="1075" w:type="dxa"/>
            <w:vAlign w:val="center"/>
            <w:textDirection w:val="lrTb"/>
            <w:noWrap w:val="false"/>
          </w:tcPr>
          <w:p>
            <w:pPr>
              <w:jc w:val="center"/>
              <w:rPr>
                <w:rFonts w:hint="eastAsia" w:ascii="宋体" w:hAnsi="宋体" w:eastAsia="宋体" w:cs="宋体"/>
                <w:color w:val="auto"/>
                <w:sz w:val="24"/>
                <w:lang w:bidi="ar"/>
              </w:rPr>
            </w:pPr>
            <w:r>
              <w:rPr>
                <w:rFonts w:hint="eastAsia" w:ascii="宋体" w:hAnsi="宋体" w:eastAsia="宋体" w:cs="宋体"/>
                <w:color w:val="auto"/>
                <w:sz w:val="24"/>
                <w:lang w:bidi="ar"/>
              </w:rPr>
            </w:r>
            <w:r/>
          </w:p>
        </w:tc>
        <w:tc>
          <w:tcPr>
            <w:tcW w:w="1380" w:type="dxa"/>
            <w:vAlign w:val="center"/>
            <w:textDirection w:val="lrTb"/>
            <w:noWrap w:val="false"/>
          </w:tcPr>
          <w:p>
            <w:pPr>
              <w:jc w:val="center"/>
              <w:rPr>
                <w:rFonts w:hint="eastAsia" w:ascii="宋体" w:hAnsi="宋体" w:eastAsia="宋体" w:cs="宋体"/>
                <w:color w:val="auto"/>
                <w:sz w:val="24"/>
                <w:lang w:bidi="ar"/>
              </w:rPr>
            </w:pPr>
            <w:r>
              <w:rPr>
                <w:rFonts w:hint="eastAsia" w:ascii="宋体" w:hAnsi="宋体" w:eastAsia="宋体" w:cs="宋体"/>
                <w:color w:val="auto"/>
                <w:sz w:val="24"/>
                <w:lang w:bidi="ar"/>
              </w:rPr>
            </w:r>
            <w:r/>
          </w:p>
        </w:tc>
      </w:tr>
      <w:tr>
        <w:trPr>
          <w:jc w:val="center"/>
          <w:trHeight w:val="567" w:hRule="exact"/>
        </w:trPr>
        <w:tc>
          <w:tcPr>
            <w:tcW w:w="1843" w:type="dxa"/>
            <w:vAlign w:val="center"/>
            <w:textDirection w:val="lrTb"/>
            <w:noWrap w:val="false"/>
          </w:tcPr>
          <w:p>
            <w:pPr>
              <w:jc w:val="center"/>
              <w:rPr>
                <w:rFonts w:hint="eastAsia" w:ascii="宋体" w:hAnsi="宋体" w:eastAsia="宋体" w:cs="宋体"/>
                <w:color w:val="auto"/>
                <w:sz w:val="24"/>
                <w:lang w:bidi="ar"/>
              </w:rPr>
            </w:pPr>
            <w:r>
              <w:rPr>
                <w:rFonts w:hint="eastAsia" w:ascii="宋体" w:hAnsi="宋体" w:eastAsia="宋体" w:cs="宋体"/>
                <w:color w:val="auto"/>
                <w:sz w:val="24"/>
                <w:lang w:bidi="ar"/>
              </w:rPr>
              <w:t xml:space="preserve">......</w:t>
            </w:r>
            <w:r/>
          </w:p>
        </w:tc>
        <w:tc>
          <w:tcPr>
            <w:tcW w:w="1273" w:type="dxa"/>
            <w:vAlign w:val="center"/>
            <w:textDirection w:val="lrTb"/>
            <w:noWrap w:val="false"/>
          </w:tcPr>
          <w:p>
            <w:pPr>
              <w:jc w:val="center"/>
              <w:rPr>
                <w:rFonts w:hint="eastAsia" w:ascii="宋体" w:hAnsi="宋体" w:eastAsia="宋体" w:cs="宋体"/>
                <w:color w:val="auto"/>
                <w:sz w:val="24"/>
                <w:lang w:bidi="ar"/>
              </w:rPr>
            </w:pPr>
            <w:r>
              <w:rPr>
                <w:rFonts w:hint="eastAsia" w:ascii="宋体" w:hAnsi="宋体" w:eastAsia="宋体" w:cs="宋体"/>
                <w:color w:val="auto"/>
                <w:sz w:val="24"/>
                <w:lang w:bidi="ar"/>
              </w:rPr>
            </w:r>
            <w:r/>
          </w:p>
        </w:tc>
        <w:tc>
          <w:tcPr>
            <w:tcW w:w="1101" w:type="dxa"/>
            <w:vAlign w:val="center"/>
            <w:textDirection w:val="lrTb"/>
            <w:noWrap w:val="false"/>
          </w:tcPr>
          <w:p>
            <w:pPr>
              <w:jc w:val="center"/>
              <w:rPr>
                <w:rFonts w:hint="eastAsia" w:ascii="宋体" w:hAnsi="宋体" w:eastAsia="宋体" w:cs="宋体"/>
                <w:color w:val="auto"/>
                <w:sz w:val="24"/>
                <w:lang w:bidi="ar"/>
              </w:rPr>
            </w:pPr>
            <w:r>
              <w:rPr>
                <w:rFonts w:hint="eastAsia" w:ascii="宋体" w:hAnsi="宋体" w:eastAsia="宋体" w:cs="宋体"/>
                <w:color w:val="auto"/>
                <w:sz w:val="24"/>
                <w:lang w:bidi="ar"/>
              </w:rPr>
            </w:r>
            <w:r/>
          </w:p>
        </w:tc>
        <w:tc>
          <w:tcPr>
            <w:tcW w:w="1088" w:type="dxa"/>
            <w:vAlign w:val="center"/>
            <w:textDirection w:val="lrTb"/>
            <w:noWrap w:val="false"/>
          </w:tcPr>
          <w:p>
            <w:pPr>
              <w:jc w:val="center"/>
              <w:rPr>
                <w:rFonts w:hint="eastAsia" w:ascii="宋体" w:hAnsi="宋体" w:eastAsia="宋体" w:cs="宋体"/>
                <w:color w:val="auto"/>
                <w:sz w:val="24"/>
                <w:lang w:bidi="ar"/>
              </w:rPr>
            </w:pPr>
            <w:r>
              <w:rPr>
                <w:rFonts w:hint="eastAsia" w:ascii="宋体" w:hAnsi="宋体" w:eastAsia="宋体" w:cs="宋体"/>
                <w:color w:val="auto"/>
                <w:sz w:val="24"/>
                <w:lang w:bidi="ar"/>
              </w:rPr>
            </w:r>
            <w:r/>
          </w:p>
        </w:tc>
        <w:tc>
          <w:tcPr>
            <w:tcW w:w="918" w:type="dxa"/>
            <w:vAlign w:val="center"/>
            <w:textDirection w:val="lrTb"/>
            <w:noWrap w:val="false"/>
          </w:tcPr>
          <w:p>
            <w:pPr>
              <w:jc w:val="center"/>
              <w:rPr>
                <w:rFonts w:hint="eastAsia" w:ascii="宋体" w:hAnsi="宋体" w:eastAsia="宋体" w:cs="宋体"/>
                <w:color w:val="auto"/>
                <w:sz w:val="24"/>
                <w:lang w:bidi="ar"/>
              </w:rPr>
            </w:pPr>
            <w:r>
              <w:rPr>
                <w:rFonts w:hint="eastAsia" w:ascii="宋体" w:hAnsi="宋体" w:eastAsia="宋体" w:cs="宋体"/>
                <w:color w:val="auto"/>
                <w:sz w:val="24"/>
                <w:lang w:bidi="ar"/>
              </w:rPr>
            </w:r>
            <w:r/>
          </w:p>
        </w:tc>
        <w:tc>
          <w:tcPr>
            <w:tcW w:w="1075" w:type="dxa"/>
            <w:vAlign w:val="center"/>
            <w:textDirection w:val="lrTb"/>
            <w:noWrap w:val="false"/>
          </w:tcPr>
          <w:p>
            <w:pPr>
              <w:jc w:val="center"/>
              <w:rPr>
                <w:rFonts w:hint="eastAsia" w:ascii="宋体" w:hAnsi="宋体" w:eastAsia="宋体" w:cs="宋体"/>
                <w:color w:val="auto"/>
                <w:sz w:val="24"/>
                <w:lang w:bidi="ar"/>
              </w:rPr>
            </w:pPr>
            <w:r>
              <w:rPr>
                <w:rFonts w:hint="eastAsia" w:ascii="宋体" w:hAnsi="宋体" w:eastAsia="宋体" w:cs="宋体"/>
                <w:color w:val="auto"/>
                <w:sz w:val="24"/>
                <w:lang w:bidi="ar"/>
              </w:rPr>
            </w:r>
            <w:r/>
          </w:p>
        </w:tc>
        <w:tc>
          <w:tcPr>
            <w:tcW w:w="1380" w:type="dxa"/>
            <w:vAlign w:val="center"/>
            <w:textDirection w:val="lrTb"/>
            <w:noWrap w:val="false"/>
          </w:tcPr>
          <w:p>
            <w:pPr>
              <w:jc w:val="center"/>
              <w:rPr>
                <w:rFonts w:hint="eastAsia" w:ascii="宋体" w:hAnsi="宋体" w:eastAsia="宋体" w:cs="宋体"/>
                <w:color w:val="auto"/>
                <w:sz w:val="24"/>
                <w:lang w:bidi="ar"/>
              </w:rPr>
            </w:pPr>
            <w:r>
              <w:rPr>
                <w:rFonts w:hint="eastAsia" w:ascii="宋体" w:hAnsi="宋体" w:eastAsia="宋体" w:cs="宋体"/>
                <w:color w:val="auto"/>
                <w:sz w:val="24"/>
                <w:lang w:bidi="ar"/>
              </w:rPr>
            </w:r>
            <w:r/>
          </w:p>
        </w:tc>
      </w:tr>
      <w:tr>
        <w:trPr>
          <w:jc w:val="center"/>
          <w:trHeight w:val="537"/>
        </w:trPr>
        <w:tc>
          <w:tcPr>
            <w:gridSpan w:val="7"/>
            <w:tcW w:w="8678" w:type="dxa"/>
            <w:vAlign w:val="center"/>
            <w:textDirection w:val="lrTb"/>
            <w:noWrap w:val="false"/>
          </w:tcPr>
          <w:p>
            <w:pPr>
              <w:jc w:val="left"/>
              <w:rPr>
                <w:rFonts w:hint="eastAsia" w:ascii="宋体" w:hAnsi="宋体" w:eastAsia="宋体" w:cs="宋体"/>
                <w:color w:val="auto"/>
                <w:sz w:val="24"/>
                <w:lang w:bidi="ar"/>
              </w:rPr>
            </w:pPr>
            <w:r>
              <w:rPr>
                <w:rFonts w:hint="eastAsia" w:ascii="宋体" w:hAnsi="宋体" w:eastAsia="宋体" w:cs="宋体"/>
                <w:b/>
                <w:color w:val="auto"/>
                <w:sz w:val="24"/>
                <w:lang w:bidi="ar"/>
              </w:rPr>
              <w:t xml:space="preserve">合计（大写）：人民币</w:t>
            </w:r>
            <w:r>
              <w:rPr>
                <w:rFonts w:hint="eastAsia" w:ascii="宋体" w:hAnsi="宋体" w:eastAsia="宋体" w:cs="宋体"/>
                <w:b/>
                <w:color w:val="auto"/>
                <w:sz w:val="24"/>
                <w:u w:val="single"/>
                <w:lang w:bidi="ar"/>
              </w:rPr>
              <w:t xml:space="preserve">       </w:t>
            </w:r>
            <w:r>
              <w:rPr>
                <w:rFonts w:hint="eastAsia" w:ascii="宋体" w:hAnsi="宋体" w:eastAsia="宋体" w:cs="宋体"/>
                <w:b/>
                <w:color w:val="auto"/>
                <w:sz w:val="24"/>
                <w:lang w:bidi="ar"/>
              </w:rPr>
              <w:t xml:space="preserve">元整 </w:t>
            </w:r>
            <w:r>
              <w:rPr>
                <w:rFonts w:hint="eastAsia" w:ascii="宋体" w:hAnsi="宋体" w:eastAsia="宋体" w:cs="宋体"/>
                <w:b/>
                <w:color w:val="auto"/>
                <w:sz w:val="24"/>
                <w:u w:val="single"/>
                <w:lang w:bidi="ar"/>
              </w:rPr>
              <w:t xml:space="preserve">       </w:t>
            </w:r>
            <w:r>
              <w:rPr>
                <w:rFonts w:hint="eastAsia" w:ascii="宋体" w:hAnsi="宋体" w:eastAsia="宋体" w:cs="宋体"/>
                <w:b/>
                <w:color w:val="auto"/>
                <w:sz w:val="24"/>
                <w:lang w:bidi="ar"/>
              </w:rPr>
              <w:t xml:space="preserve">（含税含运费）</w:t>
            </w:r>
            <w:r/>
          </w:p>
        </w:tc>
      </w:tr>
    </w:tbl>
    <w:p>
      <w:pPr>
        <w:rPr>
          <w:rFonts w:hint="eastAsia" w:ascii="宋体" w:hAnsi="宋体" w:eastAsia="宋体" w:cs="宋体"/>
          <w:color w:val="auto"/>
          <w:sz w:val="24"/>
        </w:rPr>
      </w:pPr>
      <w:r>
        <w:rPr>
          <w:rFonts w:hint="eastAsia" w:ascii="宋体" w:hAnsi="宋体" w:eastAsia="宋体" w:cs="宋体"/>
          <w:color w:val="auto"/>
          <w:sz w:val="24"/>
        </w:rPr>
      </w:r>
      <w:r/>
    </w:p>
    <w:p>
      <w:pPr>
        <w:ind w:firstLine="36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本合同采用固定总价合同，包含：设备主材费、辅助材料费、包装费、运费、保险费、装卸费、安装调试、检测、培训、利润、税金等验收合格交付使用之前及保修期内保修服务与备用物件等以及配套器材等所有其他有关各项的含税费用，及合同实施过程中应预见和不可预见费等完成本采购内容所需的一切费用。该总价为验收合格交货价，且不做调整。产品详细配置清单等见附件，附件与本合同有同等法律效力。</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1.2乙方应向甲方提供加盖印章的有效营业执照、医疗器械经营许可证，以及医疗器械产品注册与备案手续、产品合格证、使用说明书，进口产品的还应提供进口报关单、商检合格证等。</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1.3乙方所提供的产品应属于财政部颁布的《环境标志产品政府采购品目清单》范围内产品，或属于《节能产品政府采购品目清单》范围内非强制采购产品类别的，应提供产品具有国家确定的认证机构出具的、处于有效期之内的节能产品认证证书和环境标志产品认证证书。</w:t>
      </w:r>
      <w:r/>
    </w:p>
    <w:p>
      <w:pPr>
        <w:pStyle w:val="956"/>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1.4本合同所采购的货物在合同中未有注明参数要求的，均以生产厂家标准配置为准。乙方的销售、安装技术方案必须满足清单中的所有设备、材料、配件和软件等的数量要求，完善配置方案，保证系统功能的完整性，甲方不再为此另行支付任何费用。 </w:t>
      </w:r>
      <w:r/>
    </w:p>
    <w:p>
      <w:pPr>
        <w:pStyle w:val="956"/>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1.5本项目所有设备应包含所有有关互连所需的相关配件，保证其能正常运行，甲方不再为此另行支付任何费用。</w:t>
      </w:r>
      <w:r/>
    </w:p>
    <w:p>
      <w:pPr>
        <w:ind w:firstLine="482"/>
        <w:spacing w:line="360" w:lineRule="auto"/>
        <w:rPr>
          <w:rFonts w:hint="eastAsia" w:ascii="宋体" w:hAnsi="宋体" w:eastAsia="宋体" w:cs="宋体"/>
          <w:b/>
          <w:color w:val="auto"/>
          <w:sz w:val="24"/>
        </w:rPr>
      </w:pPr>
      <w:r>
        <w:rPr>
          <w:rFonts w:hint="eastAsia" w:ascii="宋体" w:hAnsi="宋体" w:eastAsia="宋体" w:cs="宋体"/>
          <w:b/>
          <w:color w:val="auto"/>
          <w:sz w:val="24"/>
        </w:rPr>
        <w:t xml:space="preserve">2.交货方法、交货期限、到货地点及风险转移</w:t>
      </w:r>
      <w:r/>
    </w:p>
    <w:p>
      <w:pPr>
        <w:pStyle w:val="968"/>
        <w:ind w:left="0" w:firstLine="480"/>
        <w:spacing w:line="360" w:lineRule="auto"/>
        <w:rPr>
          <w:rFonts w:hint="eastAsia" w:ascii="宋体" w:hAnsi="宋体" w:eastAsia="宋体" w:cs="宋体"/>
          <w:bCs/>
          <w:color w:val="auto"/>
          <w:sz w:val="24"/>
        </w:rPr>
      </w:pPr>
      <w:r>
        <w:rPr>
          <w:rFonts w:hint="eastAsia" w:ascii="宋体" w:hAnsi="宋体" w:eastAsia="宋体" w:cs="宋体"/>
          <w:bCs/>
          <w:color w:val="auto"/>
          <w:sz w:val="24"/>
        </w:rPr>
        <w:t xml:space="preserve">2.1交货期：自本合同签订生效之日起</w:t>
      </w:r>
      <w:r>
        <w:rPr>
          <w:rFonts w:hint="eastAsia" w:ascii="宋体" w:hAnsi="宋体" w:eastAsia="宋体" w:cs="宋体"/>
          <w:bCs/>
          <w:color w:val="auto"/>
          <w:sz w:val="24"/>
          <w:u w:val="single"/>
        </w:rPr>
        <w:t xml:space="preserve">   </w:t>
      </w:r>
      <w:r>
        <w:rPr>
          <w:rFonts w:hint="eastAsia" w:ascii="宋体" w:hAnsi="宋体" w:eastAsia="宋体" w:cs="宋体"/>
          <w:bCs/>
          <w:color w:val="auto"/>
          <w:sz w:val="24"/>
        </w:rPr>
        <w:t xml:space="preserve">日内送达甲方指定地点，并安装调试完毕并投入使用。</w:t>
      </w:r>
      <w:r/>
    </w:p>
    <w:p>
      <w:pPr>
        <w:ind w:firstLine="420"/>
        <w:spacing w:line="360" w:lineRule="auto"/>
        <w:rPr>
          <w:rFonts w:hint="eastAsia" w:ascii="宋体" w:hAnsi="宋体" w:eastAsia="宋体" w:cs="宋体"/>
          <w:color w:val="auto"/>
          <w:sz w:val="24"/>
        </w:rPr>
      </w:pPr>
      <w:r>
        <w:rPr>
          <w:rFonts w:hint="eastAsia" w:ascii="宋体" w:hAnsi="宋体" w:eastAsia="宋体" w:cs="宋体"/>
          <w:b/>
          <w:color w:val="auto"/>
          <w:sz w:val="24"/>
        </w:rPr>
        <w:t xml:space="preserve">2.2</w:t>
      </w:r>
      <w:r>
        <w:rPr>
          <w:rFonts w:hint="eastAsia" w:ascii="宋体" w:hAnsi="宋体" w:eastAsia="宋体" w:cs="宋体"/>
          <w:color w:val="auto"/>
          <w:sz w:val="24"/>
        </w:rPr>
        <w:t xml:space="preserve">本合同项下货物的运输及保险全部由乙方负责。乙方须采取适于安全、准时完成本合同项下义务的运输措施，将货物运至甲方指定的到货地点；对本合同项下的货物进行全面保险，包括但不限于购买或者要求承运人购买货运保险及任何第三者责任险，并对其在项目现场提供服务、培训的人员进行保险。</w:t>
      </w:r>
      <w:r/>
    </w:p>
    <w:p>
      <w:pPr>
        <w:ind w:firstLine="420"/>
        <w:spacing w:line="360" w:lineRule="auto"/>
        <w:rPr>
          <w:rFonts w:hint="eastAsia" w:ascii="宋体" w:hAnsi="宋体" w:eastAsia="宋体" w:cs="宋体"/>
          <w:color w:val="auto"/>
          <w:sz w:val="24"/>
        </w:rPr>
      </w:pPr>
      <w:r>
        <w:rPr>
          <w:rFonts w:hint="eastAsia" w:ascii="宋体" w:hAnsi="宋体" w:eastAsia="宋体" w:cs="宋体"/>
          <w:b/>
          <w:color w:val="auto"/>
          <w:sz w:val="24"/>
        </w:rPr>
        <w:t xml:space="preserve">2.3</w:t>
      </w:r>
      <w:r>
        <w:rPr>
          <w:rFonts w:hint="eastAsia" w:ascii="宋体" w:hAnsi="宋体" w:eastAsia="宋体" w:cs="宋体"/>
          <w:color w:val="auto"/>
          <w:sz w:val="24"/>
        </w:rPr>
        <w:t xml:space="preserve">甲方指定的到货地点：</w:t>
      </w:r>
      <w:r>
        <w:rPr>
          <w:rFonts w:hint="eastAsia" w:ascii="宋体" w:hAnsi="宋体" w:cs="宋体"/>
          <w:color w:val="auto"/>
          <w:sz w:val="24"/>
          <w:u w:val="single"/>
          <w:lang w:eastAsia="zh-CN"/>
        </w:rPr>
        <w:t xml:space="preserve">徐州市第一人民医院</w:t>
      </w:r>
      <w:r>
        <w:rPr>
          <w:rFonts w:hint="eastAsia" w:ascii="宋体" w:hAnsi="宋体" w:eastAsia="宋体" w:cs="宋体"/>
          <w:color w:val="auto"/>
          <w:sz w:val="24"/>
        </w:rPr>
        <w:t xml:space="preserve">。</w:t>
      </w:r>
      <w:r/>
    </w:p>
    <w:p>
      <w:pPr>
        <w:ind w:firstLine="420"/>
        <w:spacing w:line="360" w:lineRule="auto"/>
        <w:rPr>
          <w:rFonts w:hint="eastAsia" w:ascii="宋体" w:hAnsi="宋体" w:eastAsia="宋体" w:cs="宋体"/>
          <w:color w:val="auto"/>
          <w:sz w:val="24"/>
        </w:rPr>
      </w:pPr>
      <w:r>
        <w:rPr>
          <w:rFonts w:hint="eastAsia" w:ascii="宋体" w:hAnsi="宋体" w:eastAsia="宋体" w:cs="宋体"/>
          <w:b/>
          <w:color w:val="auto"/>
          <w:sz w:val="24"/>
        </w:rPr>
        <w:t xml:space="preserve">2.4</w:t>
      </w:r>
      <w:r>
        <w:rPr>
          <w:rFonts w:hint="eastAsia" w:ascii="宋体" w:hAnsi="宋体" w:eastAsia="宋体" w:cs="宋体"/>
          <w:color w:val="auto"/>
          <w:sz w:val="24"/>
        </w:rPr>
        <w:t xml:space="preserve">在乙方将货物交付甲方指定的交货地点和人员前，货物的毁损、灭失风险完全由乙方承担。</w:t>
      </w:r>
      <w:r/>
    </w:p>
    <w:p>
      <w:pPr>
        <w:ind w:firstLine="482"/>
        <w:spacing w:line="360" w:lineRule="auto"/>
        <w:rPr>
          <w:rFonts w:hint="eastAsia" w:ascii="宋体" w:hAnsi="宋体" w:eastAsia="宋体" w:cs="宋体"/>
          <w:color w:val="auto"/>
          <w:sz w:val="24"/>
        </w:rPr>
      </w:pPr>
      <w:r>
        <w:rPr>
          <w:rFonts w:hint="eastAsia" w:ascii="宋体" w:hAnsi="宋体" w:eastAsia="宋体" w:cs="宋体"/>
          <w:b/>
          <w:color w:val="auto"/>
          <w:sz w:val="24"/>
        </w:rPr>
        <w:t xml:space="preserve">3. 货物包装及质量保证</w:t>
      </w:r>
      <w:r/>
    </w:p>
    <w:p>
      <w:pPr>
        <w:ind w:firstLine="482"/>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3.1乙方所供货物必须为生产商原厂包装，且采用国家或专业标准的保护方式进行包装，应使包装适应于远距离运输、防潮、防震、防锈和防粗暴装卸，确保货物安全无损运抵甲方指定的到货地点。由于包装不适当所引起的货物锈蚀、损坏和损失均由乙方承担。每件包装箱内应附一份详细装箱单、货物说明书、质量合格证及其它与本合同项下货物有关的任何单证和资料。</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3.2乙方保证所供货物的设计、制造必须符合中华人民共和国的相关国家标准、行业标准或企业标准（如有）的强制性规定，并满足本合同规定的规格、参数、质量、价格、有效期、售后服务等要求。乙方保证所供设备型号是最新的，且是用上等材料和工艺制成，并严格保持原包装，否则造成的一切损失由乙方负全部责任。</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3.3特别条款：a.所提供医疗器械产品注册证必须真实有效；b.所提供设备上的中文品名、型号及产品说明书所注适用范围必须与医疗器械产品注册证所标明的完全一致；c.国产医疗设备上的铭牌必须标注医疗器械注册证号，进口设备必须提供报关证等相关证件；d.发票上所列品名与型号必须与合同所列品名与型号完全一致；e.其他未提及事项必须符合国家食品药品监督管理局的相关规定。以上条款必须满足，否则由此引起的一切责任由乙方负责。</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3.4乙方应保证本合同货物和服务或其任何一部分享有合法专利权、版权、商标权和工业设计权等知识产权，或经第三方合法授权。一旦出现侵权，由乙方负全部责任。</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3.5 乙方保证提供的设备在正确安装、正常使用和保养条件下，具有良好性能。货物验收后，在质量保证期内，乙方对由于涉及、工艺或者材料的缺陷所发生的任何不足或故障承担责任，所产生的费用和损失由乙方承担。</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3.6乙方保证所提供设备的技术规格符合甲方采购需求，符合国家有关部门最新颁布的标准及规范。</w:t>
      </w:r>
      <w:r/>
    </w:p>
    <w:p>
      <w:pPr>
        <w:ind w:firstLine="482"/>
        <w:spacing w:line="360" w:lineRule="auto"/>
        <w:rPr>
          <w:rFonts w:hint="eastAsia" w:ascii="宋体" w:hAnsi="宋体" w:eastAsia="宋体" w:cs="宋体"/>
          <w:b/>
          <w:color w:val="auto"/>
          <w:sz w:val="24"/>
        </w:rPr>
      </w:pPr>
      <w:r>
        <w:rPr>
          <w:rFonts w:hint="eastAsia" w:ascii="宋体" w:hAnsi="宋体" w:eastAsia="宋体" w:cs="宋体"/>
          <w:b/>
          <w:color w:val="auto"/>
          <w:sz w:val="24"/>
        </w:rPr>
        <w:t xml:space="preserve">4.交货物验收、异议</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4.1货物到达甲方指定到货地点后</w:t>
      </w:r>
      <w:r>
        <w:rPr>
          <w:rFonts w:hint="eastAsia" w:ascii="宋体" w:hAnsi="宋体" w:eastAsia="宋体" w:cs="宋体"/>
          <w:color w:val="auto"/>
          <w:sz w:val="24"/>
          <w:u w:val="single"/>
        </w:rPr>
        <w:t xml:space="preserve"> </w:t>
      </w:r>
      <w:r>
        <w:rPr>
          <w:rFonts w:hint="eastAsia" w:ascii="宋体" w:hAnsi="宋体" w:cs="宋体"/>
          <w:color w:val="auto"/>
          <w:sz w:val="24"/>
          <w:u w:val="single"/>
          <w:lang w:val="en-US" w:eastAsia="zh-CN"/>
        </w:rPr>
        <w:t xml:space="preserve"> </w:t>
      </w:r>
      <w:r>
        <w:rPr>
          <w:rFonts w:hint="eastAsia" w:ascii="宋体" w:hAnsi="宋体" w:eastAsia="宋体" w:cs="宋体"/>
          <w:color w:val="auto"/>
          <w:sz w:val="24"/>
          <w:u w:val="single"/>
        </w:rPr>
        <w:t xml:space="preserve"> </w:t>
      </w:r>
      <w:r>
        <w:rPr>
          <w:rFonts w:hint="eastAsia" w:ascii="宋体" w:hAnsi="宋体" w:eastAsia="宋体" w:cs="宋体"/>
          <w:color w:val="auto"/>
          <w:sz w:val="24"/>
        </w:rPr>
        <w:t xml:space="preserve">日内，甲、乙双方共同进行验收、测试。</w:t>
      </w:r>
      <w:r/>
    </w:p>
    <w:p>
      <w:pPr>
        <w:ind w:firstLine="480"/>
        <w:spacing w:line="360" w:lineRule="auto"/>
        <w:rPr>
          <w:rFonts w:hint="eastAsia" w:ascii="宋体" w:hAnsi="宋体" w:eastAsia="宋体" w:cs="宋体"/>
          <w:bCs/>
          <w:color w:val="auto"/>
          <w:sz w:val="24"/>
        </w:rPr>
      </w:pPr>
      <w:r>
        <w:rPr>
          <w:rFonts w:hint="eastAsia" w:ascii="宋体" w:hAnsi="宋体" w:eastAsia="宋体" w:cs="宋体"/>
          <w:bCs/>
          <w:color w:val="auto"/>
          <w:sz w:val="24"/>
        </w:rPr>
        <w:t xml:space="preserve">4.2验收标准:（1）货物外形、包装完好；（2）数量无误；（3）货物符合合同要求及标准，产品说明书对货物有质量说明的，也应符合该质量说明；（4）设备均具有食品药品监督管理局颁发的医疗器械注册证。</w:t>
      </w:r>
      <w:r/>
    </w:p>
    <w:p>
      <w:pPr>
        <w:ind w:firstLine="480"/>
        <w:spacing w:line="360" w:lineRule="auto"/>
        <w:rPr>
          <w:rFonts w:hint="eastAsia" w:ascii="宋体" w:hAnsi="宋体" w:eastAsia="宋体" w:cs="宋体"/>
          <w:bCs/>
          <w:color w:val="auto"/>
          <w:sz w:val="24"/>
        </w:rPr>
      </w:pPr>
      <w:r>
        <w:rPr>
          <w:rFonts w:hint="eastAsia" w:ascii="宋体" w:hAnsi="宋体" w:eastAsia="宋体" w:cs="宋体"/>
          <w:bCs/>
          <w:color w:val="auto"/>
          <w:sz w:val="24"/>
        </w:rPr>
        <w:t xml:space="preserve">4.3 乙方交付设备时须将设备的装箱清单、用户手册、原厂保修卡、随机资料及配给、随机工具、软件密码等交付甲方；乙方未完整交付本款规定单证和工具等的，视为未按照合同约定交货，乙方负责补齐，并视为逾期交货，由乙方承担相关违约责任。</w:t>
      </w:r>
      <w:r/>
    </w:p>
    <w:p>
      <w:pPr>
        <w:ind w:firstLine="480"/>
        <w:spacing w:line="360" w:lineRule="auto"/>
        <w:rPr>
          <w:rFonts w:hint="eastAsia" w:ascii="宋体" w:hAnsi="宋体" w:eastAsia="宋体" w:cs="宋体"/>
          <w:color w:val="auto"/>
          <w:sz w:val="24"/>
        </w:rPr>
      </w:pPr>
      <w:r>
        <w:rPr>
          <w:rFonts w:hint="eastAsia" w:ascii="宋体" w:hAnsi="宋体" w:eastAsia="宋体" w:cs="宋体"/>
          <w:bCs/>
          <w:color w:val="auto"/>
          <w:sz w:val="24"/>
        </w:rPr>
        <w:t xml:space="preserve">4.</w:t>
      </w:r>
      <w:r>
        <w:rPr>
          <w:rFonts w:hint="eastAsia" w:ascii="宋体" w:hAnsi="宋体" w:eastAsia="宋体" w:cs="宋体"/>
          <w:color w:val="auto"/>
          <w:sz w:val="24"/>
        </w:rPr>
        <w:t xml:space="preserve">4双方在验收中，如果发现货物的品种、型号、规格、数量、质量与本合同附件规定不符，双方应签署书面文件，甲方有权拒付不符合合同规定部分的货款，并在货物验收十五日内向乙方提出书面异议和处理意见；如货物与合同货物不一致，甲方有权拒付全部货款，并解除合同，乙方并承担合同价款20%的违约金责任。</w:t>
      </w:r>
      <w:r/>
    </w:p>
    <w:p>
      <w:pPr>
        <w:ind w:firstLine="480"/>
        <w:spacing w:line="360" w:lineRule="auto"/>
        <w:rPr>
          <w:rFonts w:hint="eastAsia" w:ascii="宋体" w:hAnsi="宋体" w:eastAsia="宋体" w:cs="宋体"/>
          <w:color w:val="auto"/>
          <w:sz w:val="24"/>
        </w:rPr>
      </w:pPr>
      <w:r>
        <w:rPr>
          <w:rFonts w:hint="eastAsia" w:ascii="宋体" w:hAnsi="宋体" w:eastAsia="宋体" w:cs="宋体"/>
          <w:bCs/>
          <w:color w:val="auto"/>
          <w:sz w:val="24"/>
        </w:rPr>
        <w:t xml:space="preserve">4.</w:t>
      </w:r>
      <w:r>
        <w:rPr>
          <w:rFonts w:hint="eastAsia" w:ascii="宋体" w:hAnsi="宋体" w:eastAsia="宋体" w:cs="宋体"/>
          <w:color w:val="auto"/>
          <w:sz w:val="24"/>
        </w:rPr>
        <w:t xml:space="preserve">5如甲方未按规定期限提出书面异议的，视为所交货物符合合同规定，但货物存在隐蔽瑕疵或者对质量保证期另有规定的除外。</w:t>
      </w:r>
      <w:r/>
    </w:p>
    <w:p>
      <w:pPr>
        <w:ind w:firstLine="480"/>
        <w:spacing w:line="360" w:lineRule="auto"/>
        <w:rPr>
          <w:rFonts w:hint="eastAsia" w:ascii="宋体" w:hAnsi="宋体" w:eastAsia="宋体" w:cs="宋体"/>
          <w:color w:val="auto"/>
          <w:sz w:val="24"/>
        </w:rPr>
      </w:pPr>
      <w:r>
        <w:rPr>
          <w:rFonts w:hint="eastAsia" w:ascii="宋体" w:hAnsi="宋体" w:eastAsia="宋体" w:cs="宋体"/>
          <w:bCs/>
          <w:color w:val="auto"/>
          <w:sz w:val="24"/>
        </w:rPr>
        <w:t xml:space="preserve">4.</w:t>
      </w:r>
      <w:r>
        <w:rPr>
          <w:rFonts w:hint="eastAsia" w:ascii="宋体" w:hAnsi="宋体" w:eastAsia="宋体" w:cs="宋体"/>
          <w:color w:val="auto"/>
          <w:sz w:val="24"/>
        </w:rPr>
        <w:t xml:space="preserve">6乙方在接到甲方书面异议后，应在三日内提出处理意见，否则，即视为默认甲方提出的异议和处理意见，乙方应照此执行。</w:t>
      </w:r>
      <w:r/>
    </w:p>
    <w:p>
      <w:pPr>
        <w:pStyle w:val="967"/>
        <w:ind w:left="480"/>
        <w:spacing w:before="0" w:beforeAutospacing="0" w:after="0" w:afterAutospacing="0" w:line="360" w:lineRule="auto"/>
        <w:rPr>
          <w:rFonts w:hint="eastAsia" w:ascii="宋体" w:hAnsi="宋体" w:eastAsia="宋体" w:cs="宋体"/>
          <w:b/>
          <w:color w:val="auto"/>
          <w:szCs w:val="24"/>
        </w:rPr>
      </w:pPr>
      <w:r>
        <w:rPr>
          <w:rFonts w:hint="eastAsia" w:ascii="宋体" w:hAnsi="宋体" w:eastAsia="宋体" w:cs="宋体"/>
          <w:b/>
          <w:color w:val="auto"/>
          <w:szCs w:val="24"/>
        </w:rPr>
        <w:t xml:space="preserve">5. 安装、调试与验收</w:t>
      </w:r>
      <w:r/>
    </w:p>
    <w:p>
      <w:pPr>
        <w:ind w:firstLine="482"/>
        <w:spacing w:line="360" w:lineRule="auto"/>
        <w:rPr>
          <w:rFonts w:hint="eastAsia" w:ascii="宋体" w:hAnsi="宋体" w:eastAsia="宋体" w:cs="宋体"/>
          <w:color w:val="auto"/>
          <w:sz w:val="24"/>
        </w:rPr>
      </w:pPr>
      <w:r>
        <w:rPr>
          <w:rFonts w:hint="eastAsia" w:ascii="宋体" w:hAnsi="宋体" w:eastAsia="宋体" w:cs="宋体"/>
          <w:b/>
          <w:color w:val="auto"/>
          <w:sz w:val="24"/>
        </w:rPr>
        <w:t xml:space="preserve">5.</w:t>
      </w:r>
      <w:r>
        <w:rPr>
          <w:rFonts w:hint="eastAsia" w:ascii="宋体" w:hAnsi="宋体" w:eastAsia="宋体" w:cs="宋体"/>
          <w:color w:val="auto"/>
          <w:sz w:val="24"/>
        </w:rPr>
        <w:t xml:space="preserve">1设备到货验收后，乙方3日内派具备符合国家规定的具备相应资质的人员到达现场负责设备的免费安装和调试。设备安装时，乙方必须事先与甲方的设备科联系，并与设备科共同参与，否则引起的一切责任由乙方承担。</w:t>
      </w:r>
      <w:r/>
    </w:p>
    <w:p>
      <w:pPr>
        <w:pStyle w:val="956"/>
        <w:ind w:firstLine="480"/>
        <w:spacing w:line="360" w:lineRule="auto"/>
        <w:rPr>
          <w:rFonts w:hint="eastAsia" w:ascii="宋体" w:hAnsi="宋体" w:cs="宋体"/>
          <w:color w:val="auto"/>
          <w:sz w:val="24"/>
          <w:lang w:val="en-US" w:eastAsia="zh-CN"/>
        </w:rPr>
      </w:pPr>
      <w:r>
        <w:rPr>
          <w:rFonts w:hint="eastAsia" w:ascii="宋体" w:hAnsi="宋体" w:cs="宋体"/>
          <w:color w:val="auto"/>
          <w:sz w:val="24"/>
          <w:lang w:val="en-US" w:eastAsia="zh-CN"/>
        </w:rPr>
        <w:t xml:space="preserve">5.2单证齐全:应有医疗器械注册证、医疗器械经营许可证、进口设备需提供报关单和商检报告、装箱单、产品合格证(或质量证明)、使用说明书、保修卡、发票和其它应具有的单证。(注:医疗设备的生产日期须在验收日期往前推算6个月内)</w:t>
      </w:r>
      <w:r/>
    </w:p>
    <w:p>
      <w:pPr>
        <w:pStyle w:val="956"/>
        <w:ind w:firstLine="480"/>
        <w:spacing w:line="360" w:lineRule="auto"/>
        <w:rPr>
          <w:rFonts w:hint="default" w:ascii="宋体" w:hAnsi="宋体" w:eastAsia="宋体" w:cs="宋体"/>
          <w:color w:val="auto"/>
          <w:sz w:val="24"/>
          <w:lang w:val="en-US" w:eastAsia="zh-CN"/>
        </w:rPr>
      </w:pPr>
      <w:r>
        <w:rPr>
          <w:rFonts w:hint="eastAsia" w:ascii="宋体" w:hAnsi="宋体" w:cs="宋体"/>
          <w:color w:val="auto"/>
          <w:sz w:val="24"/>
          <w:lang w:val="en-US" w:eastAsia="zh-CN"/>
        </w:rPr>
        <w:t xml:space="preserve">5.3质量符合国家法律法规规定的标准、招标文件和投标文件的要求。</w:t>
      </w:r>
      <w:r/>
    </w:p>
    <w:p>
      <w:pPr>
        <w:pStyle w:val="956"/>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5.</w:t>
      </w:r>
      <w:r>
        <w:rPr>
          <w:rFonts w:hint="eastAsia" w:ascii="宋体" w:hAnsi="宋体" w:cs="宋体"/>
          <w:color w:val="auto"/>
          <w:sz w:val="24"/>
          <w:lang w:val="en-US" w:eastAsia="zh-CN"/>
        </w:rPr>
        <w:t xml:space="preserve">4</w:t>
      </w:r>
      <w:r>
        <w:rPr>
          <w:rFonts w:hint="eastAsia" w:ascii="宋体" w:hAnsi="宋体" w:eastAsia="宋体" w:cs="宋体"/>
          <w:color w:val="auto"/>
          <w:sz w:val="24"/>
        </w:rPr>
        <w:t xml:space="preserve">乙方提供设备安装和维修所需的专用工具和辅助材料。</w:t>
      </w:r>
      <w:r/>
    </w:p>
    <w:p>
      <w:pPr>
        <w:pStyle w:val="956"/>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5.</w:t>
      </w:r>
      <w:r>
        <w:rPr>
          <w:rFonts w:hint="eastAsia" w:ascii="宋体" w:hAnsi="宋体" w:cs="宋体"/>
          <w:color w:val="auto"/>
          <w:sz w:val="24"/>
          <w:lang w:val="en-US" w:eastAsia="zh-CN"/>
        </w:rPr>
        <w:t xml:space="preserve">5</w:t>
      </w:r>
      <w:r>
        <w:rPr>
          <w:rFonts w:hint="eastAsia" w:ascii="宋体" w:hAnsi="宋体" w:eastAsia="宋体" w:cs="宋体"/>
          <w:color w:val="auto"/>
          <w:sz w:val="24"/>
        </w:rPr>
        <w:t xml:space="preserve">乙方在安装</w:t>
      </w:r>
      <w:bookmarkStart w:id="7" w:name="_GoBack"/>
      <w:r/>
      <w:bookmarkEnd w:id="7"/>
      <w:r>
        <w:rPr>
          <w:rFonts w:hint="eastAsia" w:ascii="宋体" w:hAnsi="宋体" w:eastAsia="宋体" w:cs="宋体"/>
          <w:color w:val="auto"/>
          <w:sz w:val="24"/>
        </w:rPr>
        <w:t xml:space="preserve">过程中，必须服从甲方的计划安排和整体协调，遵守甲方有关制度，文明施工。乙方必须充分考虑现场的安装难度及安全性，做好施工现场的安全防护、文明施工工作。安装过程中发生的一切责任及费用由乙方负责，如对其他物品或结构造成损坏必须照价赔偿，甲方有权直接从合同款项中予以扣减。</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5.</w:t>
      </w:r>
      <w:r>
        <w:rPr>
          <w:rFonts w:hint="eastAsia" w:ascii="宋体" w:hAnsi="宋体" w:cs="宋体"/>
          <w:color w:val="auto"/>
          <w:sz w:val="24"/>
          <w:lang w:val="en-US" w:eastAsia="zh-CN"/>
        </w:rPr>
        <w:t xml:space="preserve">6</w:t>
      </w:r>
      <w:r>
        <w:rPr>
          <w:rFonts w:hint="eastAsia" w:ascii="宋体" w:hAnsi="宋体" w:eastAsia="宋体" w:cs="宋体"/>
          <w:color w:val="auto"/>
          <w:sz w:val="24"/>
        </w:rPr>
        <w:t xml:space="preserve">乙方必须提供设备安装、集成及调测服务，安装、调试必须按照国家标准和行业规范进行，并确保调试完成后，设备能够正常运行，达到甲方可正常使用状态。调试的原始记录须经双方签字后作为验收的文件之一。</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5.</w:t>
      </w:r>
      <w:r>
        <w:rPr>
          <w:rFonts w:hint="eastAsia" w:ascii="宋体" w:hAnsi="宋体" w:cs="宋体"/>
          <w:color w:val="auto"/>
          <w:sz w:val="24"/>
          <w:lang w:val="en-US" w:eastAsia="zh-CN"/>
        </w:rPr>
        <w:t xml:space="preserve">7</w:t>
      </w:r>
      <w:r>
        <w:rPr>
          <w:rFonts w:hint="eastAsia" w:ascii="宋体" w:hAnsi="宋体" w:eastAsia="宋体" w:cs="宋体"/>
          <w:color w:val="auto"/>
          <w:sz w:val="24"/>
        </w:rPr>
        <w:t xml:space="preserve">甲方对设备试用后进行验收，乙方派工程师到达现场共同验收工作。乙方需提供设备的出厂检验报告、合格证书、装箱单，并且预先提供验收标准，填写验收报告书，供双方最终确认所用。</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5.</w:t>
      </w:r>
      <w:r>
        <w:rPr>
          <w:rFonts w:hint="eastAsia" w:ascii="宋体" w:hAnsi="宋体" w:cs="宋体"/>
          <w:color w:val="auto"/>
          <w:sz w:val="24"/>
          <w:lang w:val="en-US" w:eastAsia="zh-CN"/>
        </w:rPr>
        <w:t xml:space="preserve">8</w:t>
      </w:r>
      <w:r>
        <w:rPr>
          <w:rFonts w:hint="eastAsia" w:ascii="宋体" w:hAnsi="宋体" w:eastAsia="宋体" w:cs="宋体"/>
          <w:color w:val="auto"/>
          <w:sz w:val="24"/>
        </w:rPr>
        <w:t xml:space="preserve">验收标准依次序对照适用标准为：1、货物为原制造商制造的全新产品，无污染，无侵权行为、表面无划损、无任何缺陷隐患，在中国境内可依规安全合法使用； 2、符合中华人民共和国国家安全质量标准、环保标准或行业标准；3、符合采购文件和响应承诺中甲方认可的合理最佳配置、参数及各项要求；4、货物来源生产方标准，且必须是有关生产方发布的最新版本的标准。</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5.</w:t>
      </w:r>
      <w:r>
        <w:rPr>
          <w:rFonts w:hint="eastAsia" w:ascii="宋体" w:hAnsi="宋体" w:cs="宋体"/>
          <w:color w:val="auto"/>
          <w:sz w:val="24"/>
          <w:lang w:val="en-US" w:eastAsia="zh-CN"/>
        </w:rPr>
        <w:t xml:space="preserve">9</w:t>
      </w:r>
      <w:r>
        <w:rPr>
          <w:rFonts w:hint="eastAsia" w:ascii="宋体" w:hAnsi="宋体" w:eastAsia="宋体" w:cs="宋体"/>
          <w:color w:val="auto"/>
          <w:sz w:val="24"/>
        </w:rPr>
        <w:t xml:space="preserve">设备安装、调试产品正常运行后，各项指标和参数应符合验收标准。甲方有权委托中国有资格单位或机构对设备性能、精度进行校核。甲方签字确认的《验收合格证明》为验收合格的唯一凭证。</w:t>
      </w:r>
      <w:r/>
    </w:p>
    <w:p>
      <w:pPr>
        <w:ind w:firstLine="480"/>
        <w:jc w:val="left"/>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5.</w:t>
      </w:r>
      <w:r>
        <w:rPr>
          <w:rFonts w:hint="eastAsia" w:ascii="宋体" w:hAnsi="宋体" w:cs="宋体"/>
          <w:color w:val="auto"/>
          <w:sz w:val="24"/>
          <w:lang w:val="en-US" w:eastAsia="zh-CN"/>
        </w:rPr>
        <w:t xml:space="preserve">10</w:t>
      </w:r>
      <w:r>
        <w:rPr>
          <w:rFonts w:hint="eastAsia" w:ascii="宋体" w:hAnsi="宋体" w:eastAsia="宋体" w:cs="宋体"/>
          <w:color w:val="auto"/>
          <w:sz w:val="24"/>
        </w:rPr>
        <w:t xml:space="preserve">乙方免费提供全套技术资料（产品使用手册、维修说明书、操作说明书等），如技术资料不全，甲方有权不支付货款。</w:t>
      </w:r>
      <w:r/>
    </w:p>
    <w:p>
      <w:pPr>
        <w:ind w:firstLine="480"/>
        <w:jc w:val="left"/>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5.</w:t>
      </w:r>
      <w:r>
        <w:rPr>
          <w:rFonts w:hint="eastAsia" w:ascii="宋体" w:hAnsi="宋体" w:cs="宋体"/>
          <w:color w:val="auto"/>
          <w:sz w:val="24"/>
          <w:lang w:val="en-US" w:eastAsia="zh-CN"/>
        </w:rPr>
        <w:t xml:space="preserve">11</w:t>
      </w:r>
      <w:r>
        <w:rPr>
          <w:rFonts w:hint="eastAsia" w:ascii="宋体" w:hAnsi="宋体" w:eastAsia="宋体" w:cs="宋体"/>
          <w:color w:val="auto"/>
          <w:sz w:val="24"/>
        </w:rPr>
        <w:t xml:space="preserve"> 如乙方提供的设备设有维修软件密码，乙方应保证无条件地为甲方永久免费打开。</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5.</w:t>
      </w:r>
      <w:r>
        <w:rPr>
          <w:rFonts w:hint="eastAsia" w:ascii="宋体" w:hAnsi="宋体" w:cs="宋体"/>
          <w:color w:val="auto"/>
          <w:sz w:val="24"/>
          <w:lang w:val="en-US" w:eastAsia="zh-CN"/>
        </w:rPr>
        <w:t xml:space="preserve">12</w:t>
      </w:r>
      <w:r>
        <w:rPr>
          <w:rFonts w:hint="eastAsia" w:ascii="宋体" w:hAnsi="宋体" w:eastAsia="宋体" w:cs="宋体"/>
          <w:color w:val="auto"/>
          <w:sz w:val="24"/>
        </w:rPr>
        <w:t xml:space="preserve">验收中如果发现设备有短缺，损坏、有质量、技术等不符合本合同规定的情形，双方做出详尽的现场记录，并由双方签署确认，由乙方负责解决所出现的问题。乙方应在五日内，按照甲方的要求，采取补足、更换或退货等处理措施，并承担由此发生的一切损失和费用。</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5.1</w:t>
      </w:r>
      <w:r>
        <w:rPr>
          <w:rFonts w:hint="eastAsia" w:ascii="宋体" w:hAnsi="宋体" w:cs="宋体"/>
          <w:color w:val="auto"/>
          <w:sz w:val="24"/>
          <w:lang w:val="en-US" w:eastAsia="zh-CN"/>
        </w:rPr>
        <w:t xml:space="preserve">3</w:t>
      </w:r>
      <w:r>
        <w:rPr>
          <w:rFonts w:hint="eastAsia" w:ascii="宋体" w:hAnsi="宋体" w:eastAsia="宋体" w:cs="宋体"/>
          <w:color w:val="auto"/>
          <w:sz w:val="24"/>
        </w:rPr>
        <w:t xml:space="preserve">乙方所供设备如验收不合格，根据甲方的要求，乙方必须无条件换货或退货，由此引起的一切损失由乙方承担。</w:t>
      </w:r>
      <w:r/>
    </w:p>
    <w:p>
      <w:pPr>
        <w:ind w:firstLine="482"/>
        <w:spacing w:line="360" w:lineRule="auto"/>
        <w:rPr>
          <w:rFonts w:hint="eastAsia" w:ascii="宋体" w:hAnsi="宋体" w:eastAsia="宋体" w:cs="宋体"/>
          <w:b w:val="0"/>
          <w:bCs w:val="0"/>
          <w:color w:val="auto"/>
          <w:sz w:val="24"/>
        </w:rPr>
      </w:pPr>
      <w:r>
        <w:rPr>
          <w:rFonts w:hint="eastAsia" w:ascii="宋体" w:hAnsi="宋体" w:cs="宋体"/>
          <w:b w:val="0"/>
          <w:bCs w:val="0"/>
          <w:color w:val="auto"/>
          <w:sz w:val="24"/>
          <w:lang w:val="en-US" w:eastAsia="zh-CN"/>
        </w:rPr>
        <w:t xml:space="preserve">5.14</w:t>
      </w:r>
      <w:r>
        <w:rPr>
          <w:rFonts w:hint="eastAsia" w:ascii="宋体" w:hAnsi="宋体" w:eastAsia="宋体" w:cs="宋体"/>
          <w:b w:val="0"/>
          <w:bCs w:val="0"/>
          <w:color w:val="auto"/>
          <w:sz w:val="24"/>
        </w:rPr>
        <w:t xml:space="preserve">.如果设备中含不可收费的一次性耗材，乙方需终身免费提供。</w:t>
      </w:r>
      <w:r/>
    </w:p>
    <w:p>
      <w:pPr>
        <w:ind w:firstLine="482"/>
        <w:spacing w:line="360" w:lineRule="auto"/>
        <w:rPr>
          <w:rFonts w:hint="eastAsia" w:ascii="宋体" w:hAnsi="宋体" w:eastAsia="宋体" w:cs="宋体"/>
          <w:color w:val="auto"/>
          <w:sz w:val="24"/>
        </w:rPr>
      </w:pPr>
      <w:r>
        <w:rPr>
          <w:rFonts w:hint="eastAsia" w:ascii="宋体" w:hAnsi="宋体" w:eastAsia="宋体" w:cs="宋体"/>
          <w:b/>
          <w:bCs/>
          <w:color w:val="auto"/>
          <w:sz w:val="24"/>
        </w:rPr>
        <w:t xml:space="preserve">6. 付款方式</w:t>
      </w:r>
      <w:r/>
    </w:p>
    <w:p>
      <w:pPr>
        <w:ind w:firstLine="540"/>
        <w:spacing w:line="360" w:lineRule="auto"/>
        <w:rPr>
          <w:rFonts w:hint="eastAsia" w:ascii="宋体" w:hAnsi="宋体" w:eastAsia="宋体" w:cs="宋体"/>
          <w:b/>
          <w:bCs/>
          <w:color w:val="auto"/>
          <w:sz w:val="24"/>
        </w:rPr>
      </w:pPr>
      <w:r>
        <w:rPr>
          <w:rFonts w:hint="eastAsia" w:ascii="宋体" w:hAnsi="宋体" w:eastAsia="宋体" w:cs="宋体"/>
          <w:b/>
          <w:bCs/>
          <w:color w:val="auto"/>
          <w:sz w:val="24"/>
        </w:rPr>
        <w:t xml:space="preserve">本合同总金额为人民币大写金额</w:t>
      </w:r>
      <w:r>
        <w:rPr>
          <w:rFonts w:hint="eastAsia" w:ascii="宋体" w:hAnsi="宋体" w:eastAsia="宋体" w:cs="宋体"/>
          <w:b/>
          <w:bCs/>
          <w:color w:val="auto"/>
          <w:sz w:val="24"/>
          <w:u w:val="single"/>
        </w:rPr>
        <w:t xml:space="preserve">     </w:t>
      </w:r>
      <w:r>
        <w:rPr>
          <w:rFonts w:hint="eastAsia" w:ascii="宋体" w:hAnsi="宋体" w:eastAsia="宋体" w:cs="宋体"/>
          <w:b/>
          <w:bCs/>
          <w:color w:val="auto"/>
          <w:sz w:val="24"/>
        </w:rPr>
        <w:t xml:space="preserve">元（小写金额：</w:t>
      </w:r>
      <w:r>
        <w:rPr>
          <w:rFonts w:hint="eastAsia" w:ascii="宋体" w:hAnsi="宋体" w:eastAsia="宋体" w:cs="宋体"/>
          <w:b/>
          <w:bCs/>
          <w:color w:val="auto"/>
          <w:sz w:val="24"/>
          <w:u w:val="single"/>
        </w:rPr>
        <w:t xml:space="preserve">     </w:t>
      </w:r>
      <w:r>
        <w:rPr>
          <w:rFonts w:hint="eastAsia" w:ascii="宋体" w:hAnsi="宋体" w:eastAsia="宋体" w:cs="宋体"/>
          <w:b/>
          <w:bCs/>
          <w:color w:val="auto"/>
          <w:sz w:val="24"/>
        </w:rPr>
        <w:t xml:space="preserve">元）。</w:t>
      </w:r>
      <w:r/>
    </w:p>
    <w:p>
      <w:pPr>
        <w:ind w:firstLine="542"/>
        <w:spacing w:line="360" w:lineRule="auto"/>
        <w:rPr>
          <w:rFonts w:hint="eastAsia" w:ascii="宋体" w:hAnsi="宋体" w:eastAsia="宋体" w:cs="宋体"/>
          <w:b/>
          <w:bCs/>
          <w:color w:val="auto"/>
          <w:sz w:val="24"/>
        </w:rPr>
      </w:pPr>
      <w:r>
        <w:rPr>
          <w:rFonts w:hint="eastAsia" w:ascii="宋体" w:hAnsi="宋体" w:eastAsia="宋体" w:cs="宋体"/>
          <w:b/>
          <w:bCs/>
          <w:color w:val="auto"/>
          <w:sz w:val="24"/>
        </w:rPr>
        <w:t xml:space="preserve">经双方协商一致，选择以下第</w:t>
      </w:r>
      <w:r>
        <w:rPr>
          <w:rFonts w:hint="eastAsia" w:ascii="宋体" w:hAnsi="宋体" w:eastAsia="宋体" w:cs="宋体"/>
          <w:b/>
          <w:bCs/>
          <w:color w:val="auto"/>
          <w:sz w:val="24"/>
          <w:u w:val="single"/>
        </w:rPr>
        <w:t xml:space="preserve">   </w:t>
      </w:r>
      <w:r>
        <w:rPr>
          <w:rFonts w:hint="eastAsia" w:ascii="宋体" w:hAnsi="宋体" w:eastAsia="宋体" w:cs="宋体"/>
          <w:b/>
          <w:bCs/>
          <w:color w:val="auto"/>
          <w:sz w:val="24"/>
        </w:rPr>
        <w:t xml:space="preserve">种付款方式：</w:t>
      </w:r>
      <w:r/>
    </w:p>
    <w:p>
      <w:pPr>
        <w:ind w:firstLine="542"/>
        <w:spacing w:line="360" w:lineRule="auto"/>
        <w:rPr>
          <w:rFonts w:hint="eastAsia" w:ascii="宋体" w:hAnsi="宋体" w:eastAsia="宋体" w:cs="宋体"/>
          <w:b/>
          <w:bCs/>
          <w:color w:val="auto"/>
          <w:sz w:val="24"/>
        </w:rPr>
      </w:pPr>
      <w:r>
        <w:rPr>
          <w:rFonts w:hint="eastAsia" w:ascii="宋体" w:hAnsi="宋体" w:eastAsia="宋体" w:cs="宋体"/>
          <w:b/>
          <w:bCs/>
          <w:color w:val="auto"/>
          <w:sz w:val="24"/>
        </w:rPr>
        <w:t xml:space="preserve">付款方式一：提交预付款保函的</w:t>
      </w:r>
      <w:r/>
    </w:p>
    <w:p>
      <w:pPr>
        <w:ind w:firstLine="480"/>
        <w:jc w:val="left"/>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6.1</w:t>
      </w:r>
      <w:r>
        <w:rPr>
          <w:rFonts w:hint="eastAsia" w:ascii="宋体" w:hAnsi="宋体" w:cs="宋体"/>
          <w:color w:val="auto"/>
          <w:sz w:val="24"/>
          <w:lang w:val="en-US" w:eastAsia="zh-CN"/>
        </w:rPr>
        <w:t xml:space="preserve"> </w:t>
      </w:r>
      <w:r>
        <w:rPr>
          <w:rFonts w:hint="eastAsia" w:ascii="宋体" w:hAnsi="宋体" w:eastAsia="宋体" w:cs="宋体"/>
          <w:color w:val="auto"/>
          <w:sz w:val="24"/>
        </w:rPr>
        <w:t xml:space="preserve">合同价款的百分之</w:t>
      </w:r>
      <w:r>
        <w:rPr>
          <w:rFonts w:hint="eastAsia" w:ascii="宋体" w:hAnsi="宋体" w:cs="宋体"/>
          <w:color w:val="auto"/>
          <w:sz w:val="24"/>
          <w:lang w:eastAsia="zh-CN"/>
        </w:rPr>
        <w:t xml:space="preserve">四</w:t>
      </w:r>
      <w:r>
        <w:rPr>
          <w:rFonts w:hint="eastAsia" w:ascii="宋体" w:hAnsi="宋体" w:eastAsia="宋体" w:cs="宋体"/>
          <w:color w:val="auto"/>
          <w:sz w:val="24"/>
        </w:rPr>
        <w:t xml:space="preserve">十(</w:t>
      </w:r>
      <w:r>
        <w:rPr>
          <w:rFonts w:hint="eastAsia" w:ascii="宋体" w:hAnsi="宋体" w:cs="宋体"/>
          <w:color w:val="auto"/>
          <w:sz w:val="24"/>
          <w:lang w:val="en-US" w:eastAsia="zh-CN"/>
        </w:rPr>
        <w:t xml:space="preserve">4</w:t>
      </w:r>
      <w:r>
        <w:rPr>
          <w:rFonts w:hint="eastAsia" w:ascii="宋体" w:hAnsi="宋体" w:eastAsia="宋体" w:cs="宋体"/>
          <w:color w:val="auto"/>
          <w:sz w:val="24"/>
        </w:rPr>
        <w:t xml:space="preserve">0%)，即¥（</w:t>
      </w:r>
      <w:r>
        <w:rPr>
          <w:rFonts w:hint="eastAsia" w:ascii="宋体" w:hAnsi="宋体" w:eastAsia="宋体" w:cs="宋体"/>
          <w:color w:val="auto"/>
          <w:sz w:val="24"/>
          <w:u w:val="single"/>
        </w:rPr>
        <w:t xml:space="preserve">    </w:t>
      </w:r>
      <w:r>
        <w:rPr>
          <w:rFonts w:hint="eastAsia" w:ascii="宋体" w:hAnsi="宋体" w:eastAsia="宋体" w:cs="宋体"/>
          <w:color w:val="auto"/>
          <w:sz w:val="24"/>
        </w:rPr>
        <w:t xml:space="preserve">），大写：人民币（</w:t>
      </w:r>
      <w:r>
        <w:rPr>
          <w:rFonts w:hint="eastAsia" w:ascii="宋体" w:hAnsi="宋体" w:eastAsia="宋体" w:cs="宋体"/>
          <w:color w:val="auto"/>
          <w:sz w:val="24"/>
          <w:u w:val="single"/>
        </w:rPr>
        <w:t xml:space="preserve">   </w:t>
      </w:r>
      <w:r>
        <w:rPr>
          <w:rFonts w:hint="eastAsia" w:ascii="宋体" w:hAnsi="宋体" w:eastAsia="宋体" w:cs="宋体"/>
          <w:color w:val="auto"/>
          <w:sz w:val="24"/>
        </w:rPr>
        <w:t xml:space="preserve">）元整，在双方签订合同后</w:t>
      </w:r>
      <w:r>
        <w:rPr>
          <w:rFonts w:hint="eastAsia" w:ascii="宋体" w:hAnsi="宋体" w:cs="宋体"/>
          <w:color w:val="auto"/>
          <w:sz w:val="24"/>
          <w:lang w:val="en-US" w:eastAsia="zh-CN"/>
        </w:rPr>
        <w:t xml:space="preserve">10个工作日内递交结算手续</w:t>
      </w:r>
      <w:r>
        <w:rPr>
          <w:rFonts w:hint="eastAsia" w:ascii="宋体" w:hAnsi="宋体" w:eastAsia="宋体" w:cs="宋体"/>
          <w:color w:val="auto"/>
          <w:sz w:val="24"/>
        </w:rPr>
        <w:t xml:space="preserve">，乙方向甲方出具等额预付款保函后，由甲方办理政府采购资金结算手续支付给乙方。</w:t>
      </w:r>
      <w:r/>
    </w:p>
    <w:p>
      <w:pPr>
        <w:ind w:firstLine="480"/>
        <w:jc w:val="left"/>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6.2 合同总价的百分之</w:t>
      </w:r>
      <w:r>
        <w:rPr>
          <w:rFonts w:hint="eastAsia" w:ascii="宋体" w:hAnsi="宋体" w:cs="宋体"/>
          <w:color w:val="auto"/>
          <w:sz w:val="24"/>
          <w:lang w:eastAsia="zh-CN"/>
        </w:rPr>
        <w:t xml:space="preserve">六</w:t>
      </w:r>
      <w:r>
        <w:rPr>
          <w:rFonts w:hint="eastAsia" w:ascii="宋体" w:hAnsi="宋体" w:eastAsia="宋体" w:cs="宋体"/>
          <w:color w:val="auto"/>
          <w:sz w:val="24"/>
        </w:rPr>
        <w:t xml:space="preserve">十(</w:t>
      </w:r>
      <w:r>
        <w:rPr>
          <w:rFonts w:hint="eastAsia" w:ascii="宋体" w:hAnsi="宋体" w:cs="宋体"/>
          <w:color w:val="auto"/>
          <w:sz w:val="24"/>
          <w:lang w:val="en-US" w:eastAsia="zh-CN"/>
        </w:rPr>
        <w:t xml:space="preserve">6</w:t>
      </w:r>
      <w:r>
        <w:rPr>
          <w:rFonts w:hint="eastAsia" w:ascii="宋体" w:hAnsi="宋体" w:eastAsia="宋体" w:cs="宋体"/>
          <w:color w:val="auto"/>
          <w:sz w:val="24"/>
        </w:rPr>
        <w:t xml:space="preserve">0%)，即¥（</w:t>
      </w:r>
      <w:r>
        <w:rPr>
          <w:rFonts w:hint="eastAsia" w:ascii="宋体" w:hAnsi="宋体" w:eastAsia="宋体" w:cs="宋体"/>
          <w:color w:val="auto"/>
          <w:sz w:val="24"/>
          <w:u w:val="single"/>
        </w:rPr>
        <w:t xml:space="preserve">    </w:t>
      </w:r>
      <w:r>
        <w:rPr>
          <w:rFonts w:hint="eastAsia" w:ascii="宋体" w:hAnsi="宋体" w:eastAsia="宋体" w:cs="宋体"/>
          <w:color w:val="auto"/>
          <w:sz w:val="24"/>
        </w:rPr>
        <w:t xml:space="preserve">），大写：人民币（</w:t>
      </w:r>
      <w:r>
        <w:rPr>
          <w:rFonts w:hint="eastAsia" w:ascii="宋体" w:hAnsi="宋体" w:eastAsia="宋体" w:cs="宋体"/>
          <w:color w:val="auto"/>
          <w:sz w:val="24"/>
          <w:u w:val="single"/>
        </w:rPr>
        <w:t xml:space="preserve">   </w:t>
      </w:r>
      <w:r>
        <w:rPr>
          <w:rFonts w:hint="eastAsia" w:ascii="宋体" w:hAnsi="宋体" w:eastAsia="宋体" w:cs="宋体"/>
          <w:color w:val="auto"/>
          <w:sz w:val="24"/>
        </w:rPr>
        <w:t xml:space="preserve">）元整，合同标的全部交付并安装完毕</w:t>
      </w:r>
      <w:r>
        <w:rPr>
          <w:rFonts w:hint="eastAsia" w:ascii="宋体" w:hAnsi="宋体" w:cs="宋体"/>
          <w:color w:val="auto"/>
          <w:sz w:val="24"/>
          <w:lang w:val="en-US" w:eastAsia="zh-CN"/>
        </w:rPr>
        <w:t xml:space="preserve">且</w:t>
      </w:r>
      <w:r>
        <w:rPr>
          <w:rFonts w:hint="eastAsia" w:ascii="宋体" w:hAnsi="宋体" w:eastAsia="宋体" w:cs="宋体"/>
          <w:color w:val="auto"/>
          <w:sz w:val="24"/>
        </w:rPr>
        <w:t xml:space="preserve">验收</w:t>
      </w:r>
      <w:r>
        <w:rPr>
          <w:rFonts w:hint="eastAsia" w:ascii="宋体" w:hAnsi="宋体" w:cs="宋体"/>
          <w:color w:val="auto"/>
          <w:sz w:val="24"/>
          <w:lang w:val="en-US" w:eastAsia="zh-CN"/>
        </w:rPr>
        <w:t xml:space="preserve">合格</w:t>
      </w:r>
      <w:r>
        <w:rPr>
          <w:rFonts w:hint="eastAsia" w:ascii="宋体" w:hAnsi="宋体" w:eastAsia="宋体" w:cs="宋体"/>
          <w:color w:val="auto"/>
          <w:sz w:val="24"/>
        </w:rPr>
        <w:t xml:space="preserve">后</w:t>
      </w:r>
      <w:r>
        <w:rPr>
          <w:rFonts w:hint="eastAsia" w:ascii="宋体" w:hAnsi="宋体" w:cs="宋体"/>
          <w:color w:val="auto"/>
          <w:sz w:val="24"/>
          <w:lang w:val="en-US" w:eastAsia="zh-CN"/>
        </w:rPr>
        <w:t xml:space="preserve">10个工作日内递交结算手续</w:t>
      </w:r>
      <w:r>
        <w:rPr>
          <w:rFonts w:hint="eastAsia" w:ascii="宋体" w:hAnsi="宋体" w:eastAsia="宋体" w:cs="宋体"/>
          <w:color w:val="auto"/>
          <w:sz w:val="24"/>
        </w:rPr>
        <w:t xml:space="preserve">，由甲方办理政府采购资金结算手续，经审核通过后支付给乙方。</w:t>
      </w:r>
      <w:r/>
    </w:p>
    <w:p>
      <w:pPr>
        <w:ind w:firstLine="482"/>
        <w:jc w:val="left"/>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（在签订合同时，如乙方明确表示无需预付款的，甲方可凭最终验收报告，按实际的采购数量进行结算，并一次性支付乙方服务费用。（注：此条符合苏财购〔2020〕52号文件要求））</w:t>
      </w:r>
      <w:r/>
    </w:p>
    <w:p>
      <w:pPr>
        <w:ind w:firstLine="482"/>
        <w:jc w:val="left"/>
        <w:spacing w:line="360" w:lineRule="auto"/>
        <w:rPr>
          <w:rFonts w:hint="eastAsia" w:ascii="宋体" w:hAnsi="宋体" w:eastAsia="宋体" w:cs="宋体"/>
          <w:color w:val="auto"/>
          <w:sz w:val="24"/>
        </w:rPr>
      </w:pPr>
      <w:r>
        <w:rPr>
          <w:rFonts w:hint="eastAsia" w:ascii="宋体" w:hAnsi="宋体" w:eastAsia="宋体" w:cs="宋体"/>
          <w:b/>
          <w:bCs/>
          <w:color w:val="auto"/>
          <w:sz w:val="24"/>
        </w:rPr>
        <w:t xml:space="preserve">付款方式二</w:t>
      </w:r>
      <w:r>
        <w:rPr>
          <w:rFonts w:hint="eastAsia" w:ascii="宋体" w:hAnsi="宋体" w:eastAsia="宋体" w:cs="宋体"/>
          <w:color w:val="auto"/>
          <w:sz w:val="24"/>
        </w:rPr>
        <w:t xml:space="preserve">：不提交预付款保函的</w:t>
      </w:r>
      <w:r/>
    </w:p>
    <w:p>
      <w:pPr>
        <w:ind w:firstLine="480"/>
        <w:jc w:val="left"/>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6.1</w:t>
      </w:r>
      <w:r>
        <w:rPr>
          <w:rFonts w:hint="eastAsia" w:ascii="宋体" w:hAnsi="宋体" w:cs="宋体"/>
          <w:color w:val="auto"/>
          <w:sz w:val="24"/>
          <w:lang w:val="en-US" w:eastAsia="zh-CN"/>
        </w:rPr>
        <w:t xml:space="preserve"> </w:t>
      </w:r>
      <w:r>
        <w:rPr>
          <w:rFonts w:hint="eastAsia" w:ascii="宋体" w:hAnsi="宋体" w:eastAsia="宋体" w:cs="宋体"/>
          <w:color w:val="auto"/>
          <w:sz w:val="24"/>
        </w:rPr>
        <w:t xml:space="preserve">合同价款的百分之</w:t>
      </w:r>
      <w:r>
        <w:rPr>
          <w:rFonts w:hint="eastAsia" w:ascii="宋体" w:hAnsi="宋体" w:cs="宋体"/>
          <w:color w:val="auto"/>
          <w:sz w:val="24"/>
          <w:lang w:val="en-US" w:eastAsia="zh-CN"/>
        </w:rPr>
        <w:t xml:space="preserve">七十</w:t>
      </w:r>
      <w:r>
        <w:rPr>
          <w:rFonts w:hint="eastAsia" w:ascii="宋体" w:hAnsi="宋体" w:eastAsia="宋体" w:cs="宋体"/>
          <w:color w:val="auto"/>
          <w:sz w:val="24"/>
        </w:rPr>
        <w:t xml:space="preserve">(</w:t>
      </w:r>
      <w:r>
        <w:rPr>
          <w:rFonts w:hint="eastAsia" w:ascii="宋体" w:hAnsi="宋体" w:cs="宋体"/>
          <w:color w:val="auto"/>
          <w:sz w:val="24"/>
          <w:lang w:val="en-US" w:eastAsia="zh-CN"/>
        </w:rPr>
        <w:t xml:space="preserve">3</w:t>
      </w:r>
      <w:r>
        <w:rPr>
          <w:rFonts w:hint="eastAsia" w:ascii="宋体" w:hAnsi="宋体" w:eastAsia="宋体" w:cs="宋体"/>
          <w:color w:val="auto"/>
          <w:sz w:val="24"/>
        </w:rPr>
        <w:t xml:space="preserve">0%)，即¥（</w:t>
      </w:r>
      <w:r>
        <w:rPr>
          <w:rFonts w:hint="eastAsia" w:ascii="宋体" w:hAnsi="宋体" w:eastAsia="宋体" w:cs="宋体"/>
          <w:color w:val="auto"/>
          <w:sz w:val="24"/>
          <w:u w:val="single"/>
        </w:rPr>
        <w:t xml:space="preserve">    </w:t>
      </w:r>
      <w:r>
        <w:rPr>
          <w:rFonts w:hint="eastAsia" w:ascii="宋体" w:hAnsi="宋体" w:eastAsia="宋体" w:cs="宋体"/>
          <w:color w:val="auto"/>
          <w:sz w:val="24"/>
        </w:rPr>
        <w:t xml:space="preserve">），大写：人民币（</w:t>
      </w:r>
      <w:r>
        <w:rPr>
          <w:rFonts w:hint="eastAsia" w:ascii="宋体" w:hAnsi="宋体" w:eastAsia="宋体" w:cs="宋体"/>
          <w:color w:val="auto"/>
          <w:sz w:val="24"/>
          <w:u w:val="single"/>
        </w:rPr>
        <w:t xml:space="preserve">   </w:t>
      </w:r>
      <w:r>
        <w:rPr>
          <w:rFonts w:hint="eastAsia" w:ascii="宋体" w:hAnsi="宋体" w:eastAsia="宋体" w:cs="宋体"/>
          <w:color w:val="auto"/>
          <w:sz w:val="24"/>
        </w:rPr>
        <w:t xml:space="preserve">）元整，在双方签订合同后</w:t>
      </w:r>
      <w:r>
        <w:rPr>
          <w:rFonts w:hint="eastAsia" w:ascii="宋体" w:hAnsi="宋体" w:cs="宋体"/>
          <w:color w:val="auto"/>
          <w:sz w:val="24"/>
          <w:lang w:val="en-US" w:eastAsia="zh-CN"/>
        </w:rPr>
        <w:t xml:space="preserve">10个工作日内递交结算手续</w:t>
      </w:r>
      <w:r>
        <w:rPr>
          <w:rFonts w:hint="eastAsia" w:ascii="宋体" w:hAnsi="宋体" w:eastAsia="宋体" w:cs="宋体"/>
          <w:color w:val="auto"/>
          <w:sz w:val="24"/>
        </w:rPr>
        <w:t xml:space="preserve">，由甲方办理政府采购资金结算手续支付给乙方。</w:t>
      </w:r>
      <w:r/>
    </w:p>
    <w:p>
      <w:pPr>
        <w:ind w:firstLine="480"/>
        <w:jc w:val="left"/>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6.2 合同总价的百分之</w:t>
      </w:r>
      <w:r>
        <w:rPr>
          <w:rFonts w:hint="eastAsia" w:ascii="宋体" w:hAnsi="宋体" w:cs="宋体"/>
          <w:color w:val="auto"/>
          <w:sz w:val="24"/>
          <w:lang w:val="en-US" w:eastAsia="zh-CN"/>
        </w:rPr>
        <w:t xml:space="preserve">三十</w:t>
      </w:r>
      <w:r>
        <w:rPr>
          <w:rFonts w:hint="eastAsia" w:ascii="宋体" w:hAnsi="宋体" w:eastAsia="宋体" w:cs="宋体"/>
          <w:color w:val="auto"/>
          <w:sz w:val="24"/>
        </w:rPr>
        <w:t xml:space="preserve">(</w:t>
      </w:r>
      <w:r>
        <w:rPr>
          <w:rFonts w:hint="eastAsia" w:ascii="宋体" w:hAnsi="宋体" w:cs="宋体"/>
          <w:color w:val="auto"/>
          <w:sz w:val="24"/>
          <w:lang w:val="en-US" w:eastAsia="zh-CN"/>
        </w:rPr>
        <w:t xml:space="preserve">7</w:t>
      </w:r>
      <w:r>
        <w:rPr>
          <w:rFonts w:hint="eastAsia" w:ascii="宋体" w:hAnsi="宋体" w:eastAsia="宋体" w:cs="宋体"/>
          <w:color w:val="auto"/>
          <w:sz w:val="24"/>
        </w:rPr>
        <w:t xml:space="preserve">0%)即¥（</w:t>
      </w:r>
      <w:r>
        <w:rPr>
          <w:rFonts w:hint="eastAsia" w:ascii="宋体" w:hAnsi="宋体" w:eastAsia="宋体" w:cs="宋体"/>
          <w:color w:val="auto"/>
          <w:sz w:val="24"/>
          <w:u w:val="single"/>
        </w:rPr>
        <w:t xml:space="preserve">    </w:t>
      </w:r>
      <w:r>
        <w:rPr>
          <w:rFonts w:hint="eastAsia" w:ascii="宋体" w:hAnsi="宋体" w:eastAsia="宋体" w:cs="宋体"/>
          <w:color w:val="auto"/>
          <w:sz w:val="24"/>
        </w:rPr>
        <w:t xml:space="preserve">），大写：人民币（</w:t>
      </w:r>
      <w:r>
        <w:rPr>
          <w:rFonts w:hint="eastAsia" w:ascii="宋体" w:hAnsi="宋体" w:eastAsia="宋体" w:cs="宋体"/>
          <w:color w:val="auto"/>
          <w:sz w:val="24"/>
          <w:u w:val="single"/>
        </w:rPr>
        <w:t xml:space="preserve">   </w:t>
      </w:r>
      <w:r>
        <w:rPr>
          <w:rFonts w:hint="eastAsia" w:ascii="宋体" w:hAnsi="宋体" w:eastAsia="宋体" w:cs="宋体"/>
          <w:color w:val="auto"/>
          <w:sz w:val="24"/>
        </w:rPr>
        <w:t xml:space="preserve">）元整，合同标的验收合格并使用一年后，且买方收到正式票据后10个工作日内，由买方办理政府采购资金结算手续，经审核后支付给卖方。</w:t>
      </w:r>
      <w:r/>
    </w:p>
    <w:p>
      <w:pPr>
        <w:ind w:firstLine="54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（在签订合同时，如乙方明确表示无需预付款的，甲方可凭最终验收报告，按实际的采购数量进行结算，并一次性支付乙方服务费用。（注：此条符合苏财购〔2020〕52号文件要求））</w:t>
      </w:r>
      <w:r/>
    </w:p>
    <w:p>
      <w:pPr>
        <w:ind w:firstLine="54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6.3 乙方需提交的申请支付文件包括：</w:t>
      </w:r>
      <w:r/>
    </w:p>
    <w:p>
      <w:pPr>
        <w:ind w:firstLine="54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（1）乙方出具的全额正式发票；</w:t>
      </w:r>
      <w:r/>
    </w:p>
    <w:p>
      <w:pPr>
        <w:ind w:firstLine="54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（2）甲方出具的验收合格证明</w:t>
      </w:r>
      <w:r/>
    </w:p>
    <w:p>
      <w:pPr>
        <w:ind w:firstLine="54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6.4  合同约定的乙方收款账户：</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开户银行：</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银行帐号：</w:t>
      </w:r>
      <w:r/>
    </w:p>
    <w:p>
      <w:pPr>
        <w:ind w:firstLine="54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6.5 甲方逾期支付资金的，以当期应付资金为基数，按同期贷款市场报价利率（LPR）一年期贷款利率计算逾期付款违约金，但违约金的总数不超过合同总金额的（0.1）%。但因政府资金结算手续的原因逾期的除外。</w:t>
      </w:r>
      <w:r/>
    </w:p>
    <w:p>
      <w:pPr>
        <w:ind w:firstLine="480"/>
        <w:spacing w:line="360" w:lineRule="auto"/>
        <w:rPr>
          <w:rFonts w:hint="default" w:ascii="宋体" w:hAnsi="宋体" w:eastAsia="宋体" w:cs="宋体"/>
          <w:color w:val="ff0000"/>
          <w:sz w:val="24"/>
          <w:lang w:val="en-US" w:eastAsia="zh-CN"/>
        </w:rPr>
      </w:pPr>
      <w:r>
        <w:rPr>
          <w:rFonts w:hint="eastAsia" w:ascii="宋体" w:hAnsi="宋体" w:cs="宋体"/>
          <w:color w:val="ff0000"/>
          <w:sz w:val="24"/>
          <w:lang w:val="en-US" w:eastAsia="zh-CN"/>
        </w:rPr>
        <w:t xml:space="preserve">6.6乙方出具的全额正式发票。乙方未出具发票的，甲方有权拒绝付款且不承担违约责任，但乙方仍应按照约定履行合同义务。</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7.质量保证期及售后服务</w:t>
      </w:r>
      <w:r/>
    </w:p>
    <w:p>
      <w:pPr>
        <w:pStyle w:val="984"/>
        <w:ind w:firstLine="482"/>
        <w:jc w:val="both"/>
        <w:spacing w:before="0" w:after="0" w:line="360" w:lineRule="auto"/>
        <w:shd w:val="clear" w:color="auto" w:fill="auto"/>
        <w:tabs>
          <w:tab w:val="left" w:pos="1009" w:leader="none"/>
        </w:tabs>
        <w:rPr>
          <w:rFonts w:hint="eastAsia" w:ascii="宋体" w:hAnsi="宋体" w:eastAsia="宋体" w:cs="宋体"/>
          <w:bCs/>
          <w:color w:val="auto"/>
          <w:spacing w:val="0"/>
          <w:sz w:val="24"/>
          <w:szCs w:val="24"/>
        </w:rPr>
      </w:pPr>
      <w:r>
        <w:rPr>
          <w:rFonts w:hint="eastAsia" w:ascii="宋体" w:hAnsi="宋体" w:eastAsia="宋体" w:cs="宋体"/>
          <w:b/>
          <w:color w:val="auto"/>
          <w:spacing w:val="0"/>
          <w:sz w:val="24"/>
          <w:szCs w:val="24"/>
        </w:rPr>
        <w:t xml:space="preserve">7.1质量保证期：质保</w:t>
      </w:r>
      <w:r>
        <w:rPr>
          <w:rFonts w:hint="eastAsia" w:ascii="宋体" w:hAnsi="宋体" w:eastAsia="宋体" w:cs="宋体"/>
          <w:b/>
          <w:color w:val="auto"/>
          <w:spacing w:val="0"/>
          <w:sz w:val="24"/>
          <w:szCs w:val="24"/>
          <w:u w:val="single"/>
        </w:rPr>
        <w:t xml:space="preserve">   </w:t>
      </w:r>
      <w:r>
        <w:rPr>
          <w:rFonts w:hint="eastAsia" w:ascii="宋体" w:hAnsi="宋体" w:eastAsia="宋体" w:cs="宋体"/>
          <w:b/>
          <w:color w:val="auto"/>
          <w:spacing w:val="0"/>
          <w:sz w:val="24"/>
          <w:szCs w:val="24"/>
        </w:rPr>
        <w:t xml:space="preserve">年，从验收合格之日起计算。</w:t>
      </w:r>
      <w:r>
        <w:rPr>
          <w:rFonts w:hint="eastAsia" w:ascii="宋体" w:hAnsi="宋体" w:eastAsia="宋体" w:cs="宋体"/>
          <w:bCs/>
          <w:color w:val="auto"/>
          <w:spacing w:val="0"/>
          <w:sz w:val="24"/>
          <w:szCs w:val="24"/>
        </w:rPr>
        <w:t xml:space="preserve">任何时候，乙方均不能免除因货物本身的缺陷所应负的责任。在保修期内对设备进行定期维护和保养，年度定期预防性维护保养次数不少于4次，并免费提供维修所需的配件及服务。</w:t>
      </w:r>
      <w:r/>
    </w:p>
    <w:p>
      <w:pPr>
        <w:pStyle w:val="984"/>
        <w:ind w:firstLine="520"/>
        <w:jc w:val="both"/>
        <w:spacing w:before="0" w:after="0" w:line="360" w:lineRule="auto"/>
        <w:shd w:val="clear" w:color="auto" w:fill="auto"/>
        <w:tabs>
          <w:tab w:val="left" w:pos="1028" w:leader="none"/>
        </w:tabs>
        <w:rPr>
          <w:rFonts w:hint="default" w:ascii="宋体" w:hAnsi="宋体" w:eastAsia="宋体" w:cs="宋体"/>
          <w:color w:val="ff0000"/>
          <w:sz w:val="24"/>
          <w:szCs w:val="24"/>
          <w:lang w:val="en-US" w:bidi="zh-CN"/>
        </w:rPr>
      </w:pPr>
      <w:r>
        <w:rPr>
          <w:rFonts w:hint="eastAsia" w:ascii="宋体" w:hAnsi="宋体" w:eastAsia="宋体" w:cs="宋体"/>
          <w:color w:val="ff0000"/>
          <w:sz w:val="24"/>
          <w:szCs w:val="24"/>
          <w:lang w:val="en-US" w:bidi="zh-CN"/>
        </w:rPr>
        <w:t xml:space="preserve">7.2产品质量技术标准按国家法律法规规定的标准、行业标准、招标文件和乙方投标文件所提供的技术标准执行。乙方应提供相关的书面技术标准、资料文件及产品的主要技术指标和性能参数的详细说明、配置清单等，由甲方备查。</w:t>
      </w:r>
      <w:r/>
    </w:p>
    <w:p>
      <w:pPr>
        <w:pStyle w:val="984"/>
        <w:ind w:firstLine="520"/>
        <w:jc w:val="both"/>
        <w:spacing w:before="0" w:after="0" w:line="360" w:lineRule="auto"/>
        <w:shd w:val="clear" w:color="auto" w:fill="auto"/>
        <w:tabs>
          <w:tab w:val="left" w:pos="1028" w:leader="none"/>
        </w:tabs>
        <w:rPr>
          <w:rFonts w:hint="default" w:ascii="宋体" w:hAnsi="宋体" w:eastAsia="宋体" w:cs="宋体"/>
          <w:color w:val="auto"/>
          <w:sz w:val="24"/>
          <w:szCs w:val="24"/>
          <w:lang w:val="en-US" w:bidi="zh-CN"/>
        </w:rPr>
      </w:pPr>
      <w:r>
        <w:rPr>
          <w:rFonts w:hint="eastAsia" w:ascii="宋体" w:hAnsi="宋体" w:eastAsia="宋体" w:cs="宋体"/>
          <w:color w:val="auto"/>
          <w:sz w:val="24"/>
          <w:szCs w:val="24"/>
          <w:lang w:val="en-US" w:bidi="zh-CN"/>
        </w:rPr>
        <w:t xml:space="preserve">7.3质保期内产品连续出现超过三次故障，甲方有权要求乙方免费更换全新的同品牌同型号设备。</w:t>
      </w:r>
      <w:r/>
    </w:p>
    <w:p>
      <w:pPr>
        <w:pStyle w:val="984"/>
        <w:ind w:firstLine="520"/>
        <w:jc w:val="both"/>
        <w:spacing w:before="0" w:after="0" w:line="360" w:lineRule="auto"/>
        <w:shd w:val="clear" w:color="auto" w:fill="auto"/>
        <w:tabs>
          <w:tab w:val="left" w:pos="1028" w:leader="none"/>
        </w:tabs>
        <w:rPr>
          <w:rFonts w:hint="eastAsia" w:ascii="宋体" w:hAnsi="宋体" w:eastAsia="宋体" w:cs="宋体"/>
          <w:color w:val="auto"/>
          <w:sz w:val="24"/>
          <w:szCs w:val="24"/>
        </w:rPr>
      </w:pPr>
      <w:r>
        <w:rPr>
          <w:rFonts w:hint="eastAsia" w:ascii="宋体" w:hAnsi="宋体" w:eastAsia="宋体" w:cs="宋体"/>
          <w:color w:val="auto"/>
          <w:sz w:val="24"/>
          <w:szCs w:val="24"/>
          <w:lang w:bidi="zh-CN"/>
        </w:rPr>
        <w:t xml:space="preserve">7.</w:t>
      </w:r>
      <w:r>
        <w:rPr>
          <w:rFonts w:hint="eastAsia" w:ascii="宋体" w:hAnsi="宋体" w:eastAsia="宋体" w:cs="宋体"/>
          <w:color w:val="auto"/>
          <w:sz w:val="24"/>
          <w:szCs w:val="24"/>
          <w:lang w:val="en-US" w:bidi="zh-CN"/>
        </w:rPr>
        <w:t xml:space="preserve">4</w:t>
      </w:r>
      <w:r>
        <w:rPr>
          <w:rFonts w:hint="eastAsia" w:ascii="宋体" w:hAnsi="宋体" w:eastAsia="宋体" w:cs="宋体"/>
          <w:color w:val="auto"/>
          <w:sz w:val="24"/>
          <w:szCs w:val="24"/>
          <w:lang w:val="zh-CN" w:bidi="zh-CN"/>
        </w:rPr>
        <w:t xml:space="preserve">乙方应按照国家有关法律法规规章和“三包”规定以及合同约定提供售后服务。质保期间如属产品质量引起的配件损坏，一切维修换件保养费用和备品备件，均由乙方免费提供和更换。质保期间如属甲方操作不当引起的配件或耗材的损坏，乙方将提供免费维修，但更换配件的费用则由甲方负责。</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7.</w:t>
      </w:r>
      <w:r>
        <w:rPr>
          <w:rFonts w:hint="eastAsia" w:ascii="宋体" w:hAnsi="宋体" w:cs="宋体"/>
          <w:color w:val="auto"/>
          <w:sz w:val="24"/>
          <w:lang w:val="en-US" w:eastAsia="zh-CN"/>
        </w:rPr>
        <w:t xml:space="preserve">5</w:t>
      </w:r>
      <w:r>
        <w:rPr>
          <w:rFonts w:hint="eastAsia" w:ascii="宋体" w:hAnsi="宋体" w:eastAsia="宋体" w:cs="宋体"/>
          <w:color w:val="auto"/>
          <w:sz w:val="24"/>
        </w:rPr>
        <w:t xml:space="preserve">如设备发生故障，乙方在接到甲方报修电话后</w:t>
      </w:r>
      <w:r>
        <w:rPr>
          <w:rFonts w:hint="eastAsia" w:ascii="宋体" w:hAnsi="宋体" w:cs="宋体"/>
          <w:color w:val="auto"/>
          <w:sz w:val="24"/>
          <w:u w:val="single"/>
          <w:lang w:val="en-US" w:eastAsia="zh-CN"/>
        </w:rPr>
        <w:t xml:space="preserve"> 2 </w:t>
      </w:r>
      <w:r>
        <w:rPr>
          <w:rFonts w:hint="eastAsia" w:ascii="宋体" w:hAnsi="宋体" w:eastAsia="宋体" w:cs="宋体"/>
          <w:color w:val="auto"/>
          <w:sz w:val="24"/>
        </w:rPr>
        <w:t xml:space="preserve">小时内予以响应，</w:t>
      </w:r>
      <w:r>
        <w:rPr>
          <w:rFonts w:hint="eastAsia" w:ascii="宋体" w:hAnsi="宋体" w:cs="宋体"/>
          <w:color w:val="auto"/>
          <w:sz w:val="24"/>
          <w:u w:val="single"/>
          <w:lang w:val="en-US" w:eastAsia="zh-CN"/>
        </w:rPr>
        <w:t xml:space="preserve"> 24</w:t>
      </w:r>
      <w:r>
        <w:rPr>
          <w:rFonts w:hint="eastAsia" w:ascii="宋体" w:hAnsi="宋体" w:eastAsia="宋体" w:cs="宋体"/>
          <w:color w:val="auto"/>
          <w:sz w:val="24"/>
        </w:rPr>
        <w:t xml:space="preserve">小时内到达现场解决问题。故障不能现场排除的，3日内提供备用机（提供备用机一台，设备故障无法及时处理时备用，备用机所有权归厂家所有），否则甲方可自行采取必要的措施，由此产生的风险和费用由乙方承担。如有特殊情况，乙方应立即电话通知甲方不能响应的原因，在获得甲方同意后，才可推迟响应时间。</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7.</w:t>
      </w:r>
      <w:r>
        <w:rPr>
          <w:rFonts w:hint="eastAsia" w:ascii="宋体" w:hAnsi="宋体" w:cs="宋体"/>
          <w:color w:val="auto"/>
          <w:sz w:val="24"/>
          <w:lang w:val="en-US" w:eastAsia="zh-CN"/>
        </w:rPr>
        <w:t xml:space="preserve">6</w:t>
      </w:r>
      <w:r>
        <w:rPr>
          <w:rFonts w:hint="eastAsia" w:ascii="宋体" w:hAnsi="宋体" w:eastAsia="宋体" w:cs="宋体"/>
          <w:color w:val="auto"/>
          <w:sz w:val="24"/>
        </w:rPr>
        <w:t xml:space="preserve">质保期内，设备如因故障维修超过2天，按1:2延长质保期（具体时间，按天数算）。</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7.</w:t>
      </w:r>
      <w:r>
        <w:rPr>
          <w:rFonts w:hint="eastAsia" w:ascii="宋体" w:hAnsi="宋体" w:cs="宋体"/>
          <w:color w:val="auto"/>
          <w:sz w:val="24"/>
          <w:lang w:val="en-US" w:eastAsia="zh-CN"/>
        </w:rPr>
        <w:t xml:space="preserve">7</w:t>
      </w:r>
      <w:r>
        <w:rPr>
          <w:rFonts w:hint="eastAsia" w:ascii="宋体" w:hAnsi="宋体" w:eastAsia="宋体" w:cs="宋体"/>
          <w:color w:val="auto"/>
          <w:sz w:val="24"/>
        </w:rPr>
        <w:t xml:space="preserve">无论在质保期内还是质保期外，乙方必须上门维修，乙方工程师来甲方维修本设备，必须事先与甲方设备科取得联系，并与甲方工程师共同完成维修工作。乙方未尽到维修质保义务的，甲方可以委托第三方维修，由此产生的费用再加15%的管理费从质保金中扣除，不足部分，甲方有权向乙方追偿。</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7.</w:t>
      </w:r>
      <w:r>
        <w:rPr>
          <w:rFonts w:hint="eastAsia" w:ascii="宋体" w:hAnsi="宋体" w:cs="宋体"/>
          <w:color w:val="auto"/>
          <w:sz w:val="24"/>
          <w:lang w:val="en-US" w:eastAsia="zh-CN"/>
        </w:rPr>
        <w:t xml:space="preserve">8</w:t>
      </w:r>
      <w:r>
        <w:rPr>
          <w:rFonts w:hint="eastAsia" w:ascii="宋体" w:hAnsi="宋体" w:eastAsia="宋体" w:cs="宋体"/>
          <w:color w:val="auto"/>
          <w:sz w:val="24"/>
        </w:rPr>
        <w:t xml:space="preserve">质保期内设备的开机率≥95％（按全年365天计算）。如因设备故障导致开机率达不到95%即347天以上质保期按1: 4（按天算）顺延。（如果因维修导致停机时间过长，其他补偿条款，双方友好协商）。</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7.</w:t>
      </w:r>
      <w:r>
        <w:rPr>
          <w:rFonts w:hint="eastAsia" w:ascii="宋体" w:hAnsi="宋体" w:cs="宋体"/>
          <w:color w:val="auto"/>
          <w:sz w:val="24"/>
          <w:lang w:val="en-US" w:eastAsia="zh-CN"/>
        </w:rPr>
        <w:t xml:space="preserve">9</w:t>
      </w:r>
      <w:r>
        <w:rPr>
          <w:rFonts w:hint="eastAsia" w:ascii="宋体" w:hAnsi="宋体" w:eastAsia="宋体" w:cs="宋体"/>
          <w:color w:val="auto"/>
          <w:sz w:val="24"/>
        </w:rPr>
        <w:t xml:space="preserve">软件终身免费升级，并及时提供设备新功能和临床应用资料。</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7.</w:t>
      </w:r>
      <w:r>
        <w:rPr>
          <w:rFonts w:hint="eastAsia" w:ascii="宋体" w:hAnsi="宋体" w:cs="宋体"/>
          <w:color w:val="auto"/>
          <w:sz w:val="24"/>
          <w:lang w:val="en-US" w:eastAsia="zh-CN"/>
        </w:rPr>
        <w:t xml:space="preserve">10</w:t>
      </w:r>
      <w:r>
        <w:rPr>
          <w:rFonts w:hint="eastAsia" w:ascii="宋体" w:hAnsi="宋体" w:eastAsia="宋体" w:cs="宋体"/>
          <w:color w:val="auto"/>
          <w:sz w:val="24"/>
        </w:rPr>
        <w:t xml:space="preserve">质保期后维修时，如更换配件，只收取配件费，且配件费提供优惠价格（不高于八折），不得收取上门服务费及差旅费（需附配件价格清单）。维修好后6个月内，对仪器设备再次发生同样的故障并且需要更换同样零配件时，乙方承诺免费维修及更换零配件。</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7.1</w:t>
      </w:r>
      <w:r>
        <w:rPr>
          <w:rFonts w:hint="eastAsia" w:ascii="宋体" w:hAnsi="宋体" w:cs="宋体"/>
          <w:color w:val="auto"/>
          <w:sz w:val="24"/>
          <w:lang w:val="en-US" w:eastAsia="zh-CN"/>
        </w:rPr>
        <w:t xml:space="preserve">1</w:t>
      </w:r>
      <w:r>
        <w:rPr>
          <w:rFonts w:hint="eastAsia" w:ascii="宋体" w:hAnsi="宋体" w:eastAsia="宋体" w:cs="宋体"/>
          <w:color w:val="auto"/>
          <w:sz w:val="24"/>
        </w:rPr>
        <w:t xml:space="preserve">质保期后，如甲方需延长保修时间，乙方质保费不得高于第一年销售合同里单台设备全额的5%，年度定期预防性维护保养次数不少于4次。</w:t>
      </w:r>
      <w:r/>
    </w:p>
    <w:p>
      <w:pPr>
        <w:ind w:firstLine="482"/>
        <w:spacing w:line="360" w:lineRule="auto"/>
        <w:rPr>
          <w:rFonts w:hint="eastAsia" w:ascii="宋体" w:hAnsi="宋体" w:eastAsia="宋体" w:cs="宋体"/>
          <w:b/>
          <w:color w:val="auto"/>
          <w:sz w:val="24"/>
        </w:rPr>
      </w:pPr>
      <w:r>
        <w:rPr>
          <w:rFonts w:hint="eastAsia" w:ascii="宋体" w:hAnsi="宋体" w:eastAsia="宋体" w:cs="宋体"/>
          <w:b/>
          <w:color w:val="auto"/>
          <w:sz w:val="24"/>
        </w:rPr>
        <w:t xml:space="preserve">8. 技术培训</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8.1工程师培训：在安装过程中或安装结束后，乙方工程师或有关人员有义务对甲方工程师人员进行设备的结构和工作原理、日常使用、操作、维护、故障诊断维修基础知识理论培训，解答甲方人员提出的问题，并提供该设备的操作手册（一套）、维修手册（一套）交设备管理处，确保甲方能够对设备、系统有足够的了解，能够独立进行日常操作、管理和维护。所有的培训费用包括差旅、食宿、教材、资料等由乙方负责，均计入合同价中。</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8.2临床培训： 免费提供现场临床培训。</w:t>
      </w:r>
      <w:r/>
    </w:p>
    <w:p>
      <w:pPr>
        <w:ind w:firstLine="482"/>
        <w:spacing w:line="360" w:lineRule="auto"/>
        <w:rPr>
          <w:rFonts w:hint="eastAsia" w:ascii="宋体" w:hAnsi="宋体" w:eastAsia="宋体" w:cs="宋体"/>
          <w:b/>
          <w:color w:val="auto"/>
          <w:sz w:val="24"/>
        </w:rPr>
      </w:pPr>
      <w:r>
        <w:rPr>
          <w:rFonts w:hint="eastAsia" w:ascii="宋体" w:hAnsi="宋体" w:eastAsia="宋体" w:cs="宋体"/>
          <w:b/>
          <w:color w:val="auto"/>
          <w:sz w:val="24"/>
        </w:rPr>
        <w:t xml:space="preserve">9．知识产权 </w:t>
      </w:r>
      <w:r/>
    </w:p>
    <w:p>
      <w:pPr>
        <w:pStyle w:val="956"/>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9.1乙方必须保证，甲方在中华人民共和国境内使用投报货物、资料、技术、服务或其任何一部分时，享有不受限制的无偿使用权，如有第三方向甲方提出侵犯其专利权、商标权或其它知识产权的主张，该责任由乙方承担。 </w:t>
      </w:r>
      <w:r/>
    </w:p>
    <w:p>
      <w:pPr>
        <w:pStyle w:val="956"/>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9.2本合同价包含所有应向所有权人支付的专利权、商标权或其它知识产权的一切相关费用。</w:t>
      </w:r>
      <w:r/>
    </w:p>
    <w:p>
      <w:pPr>
        <w:pStyle w:val="956"/>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9.3系统软件、通用软件必须是具有在中国境内的合法使用权或版权的正版软件，涉及到第三方提出侵权或知识产权的起诉及支付版税等费用由乙方承担所有责任及费用。</w:t>
      </w:r>
      <w:r/>
    </w:p>
    <w:p>
      <w:pPr>
        <w:pStyle w:val="956"/>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9.4乙方需对所有成果、产品的知识产权负有瑕疵担保责任，因使用未被授权使用的技术、组件、系统软件、通用软件等知识产权问题引起的纠纷所产生的所有责任及费用由乙方自行承担。</w:t>
      </w:r>
      <w:r/>
    </w:p>
    <w:p>
      <w:pPr>
        <w:ind w:firstLine="482"/>
        <w:spacing w:line="360" w:lineRule="auto"/>
        <w:rPr>
          <w:rFonts w:hint="eastAsia" w:ascii="宋体" w:hAnsi="宋体" w:eastAsia="宋体" w:cs="宋体"/>
          <w:b/>
          <w:bCs/>
          <w:color w:val="auto"/>
          <w:sz w:val="24"/>
        </w:rPr>
      </w:pPr>
      <w:r>
        <w:rPr>
          <w:rFonts w:hint="eastAsia" w:ascii="宋体" w:hAnsi="宋体" w:eastAsia="宋体" w:cs="宋体"/>
          <w:b/>
          <w:bCs/>
          <w:color w:val="auto"/>
          <w:sz w:val="24"/>
        </w:rPr>
        <w:t xml:space="preserve">10.违约责任</w:t>
      </w:r>
      <w:r/>
    </w:p>
    <w:p>
      <w:pPr>
        <w:ind w:firstLine="482"/>
        <w:spacing w:line="360" w:lineRule="auto"/>
        <w:rPr>
          <w:rFonts w:hint="eastAsia" w:ascii="宋体" w:hAnsi="宋体" w:eastAsia="宋体" w:cs="宋体"/>
          <w:b/>
          <w:color w:val="auto"/>
          <w:sz w:val="24"/>
        </w:rPr>
      </w:pPr>
      <w:r>
        <w:rPr>
          <w:rFonts w:hint="eastAsia" w:ascii="宋体" w:hAnsi="宋体" w:eastAsia="宋体" w:cs="宋体"/>
          <w:b/>
          <w:color w:val="auto"/>
          <w:sz w:val="24"/>
        </w:rPr>
        <w:t xml:space="preserve">10.1乙方的违约责任：</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10.1.1乙方所交货物品种、型号、规格、质量不符合合同规定的，如果甲方同意使用，应当按质论价；如果甲方不同意使用，应根据货物的具体情况，由乙方在15个工作日内负责更换为符合合同要求的货物，并承担因调换、运输而产生的全部费用。乙方不能在前述时间内完成调换，或者调换后的货物仍不符合合同规定的，甲方有权退货，并要求乙方按合同总货款的20%承担违约金。</w:t>
      </w:r>
      <w:r/>
    </w:p>
    <w:p>
      <w:pPr>
        <w:ind w:firstLine="42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10.1.2乙方逾期交货的，每逾期7天（不足7天的，按7天计算），按总货款的0.5%支付违约金；逾期交货超过1个月的，甲方有权立即解除本合同，由此给甲方造成的一切损失由乙方承担。乙方提前交货的，甲方接货后，仍可按合同规定的交货时间付款。乙方逾期交货的，应在发货前书面通知甲方，与甲方协商，甲方仍需要的，乙方应继续交货，并按每逾期一日支付合同价款的0.1% 承担逾期交货违约责任；甲方不再需要的，乙方应当在接到通知后合同即解除，并按合同总金额的</w:t>
      </w:r>
      <w:r>
        <w:rPr>
          <w:rFonts w:hint="eastAsia" w:ascii="宋体" w:hAnsi="宋体" w:eastAsia="宋体" w:cs="宋体"/>
          <w:color w:val="auto"/>
          <w:sz w:val="24"/>
          <w:u w:val="single"/>
        </w:rPr>
        <w:t xml:space="preserve">百分之十</w:t>
      </w:r>
      <w:r>
        <w:rPr>
          <w:rFonts w:hint="eastAsia" w:ascii="宋体" w:hAnsi="宋体" w:eastAsia="宋体" w:cs="宋体"/>
          <w:color w:val="auto"/>
          <w:sz w:val="24"/>
        </w:rPr>
        <w:t xml:space="preserve">向甲方支付违约金，并赔偿因此造成的损失。</w:t>
      </w:r>
      <w:r/>
    </w:p>
    <w:p>
      <w:pPr>
        <w:ind w:firstLine="42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10.1.3乙方不能按本合同要求提供货物的保修服务的，应向甲方偿付合同总价款的5%的违约金并赔偿甲方的损失。如果此等违约造成本合同项下货物的使用目的无法实现的，甲方有权解除合同并主张除违约金以外的损害赔偿。</w:t>
      </w:r>
      <w:r/>
    </w:p>
    <w:p>
      <w:pPr>
        <w:ind w:firstLine="42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10.1.4乙方不能按本合同要求提供培训服务的，应向甲方偿付合同总价款的5%的违约金。如果此等违约造成本合同项下货物的使用目的无法实现的，甲方有权解除合同并主张除违约金以外的损害赔偿。</w:t>
      </w:r>
      <w:r/>
    </w:p>
    <w:p>
      <w:pPr>
        <w:ind w:firstLine="42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10.1.5乙方不能按本合同要求提供所承诺的服务人员的，应向甲方偿付合同总价款的5%的违约金。如果此等违约造成本合同项下货物的使用目的无法实现的，甲方有权解除合同并主张除违约金以外的损害赔偿。</w:t>
      </w:r>
      <w:r/>
    </w:p>
    <w:p>
      <w:pPr>
        <w:ind w:firstLine="42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10.1.6如果发生声称本合同项下货物侵犯他人专利、版权、商标权或商业秘密等权利而针对甲方提起索赔或诉讼仲裁的情况，乙方应支付由此而产生的全部费用及赔偿金、律师费用。</w:t>
      </w:r>
      <w:r/>
    </w:p>
    <w:p>
      <w:pPr>
        <w:ind w:firstLine="42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10.1.7合同规定应该偿付的违约金、赔偿金和各种经济损失，应当在明确责任后30日内付清，逾期按应支付金额的日万分之五计收利息。依据本合同乙方应向甲方支付前述款项的，甲方有权自行从应付合同总价款中扣除充抵。</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10.2甲方违约责任：</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10.2.1非乙方供货质量问题，甲方中途不得退货，否则甲方应按合同总额的</w:t>
      </w:r>
      <w:r>
        <w:rPr>
          <w:rFonts w:hint="eastAsia" w:ascii="宋体" w:hAnsi="宋体" w:eastAsia="宋体" w:cs="宋体"/>
          <w:color w:val="auto"/>
          <w:sz w:val="24"/>
          <w:u w:val="single"/>
        </w:rPr>
        <w:t xml:space="preserve">百分之十</w:t>
      </w:r>
      <w:r>
        <w:rPr>
          <w:rFonts w:hint="eastAsia" w:ascii="宋体" w:hAnsi="宋体" w:eastAsia="宋体" w:cs="宋体"/>
          <w:color w:val="auto"/>
          <w:sz w:val="24"/>
        </w:rPr>
        <w:t xml:space="preserve">向乙方支付违约金。</w:t>
      </w:r>
      <w:r/>
    </w:p>
    <w:p>
      <w:pPr>
        <w:ind w:firstLine="482"/>
        <w:spacing w:line="360" w:lineRule="auto"/>
        <w:rPr>
          <w:rFonts w:hint="eastAsia" w:ascii="宋体" w:hAnsi="宋体" w:eastAsia="宋体" w:cs="宋体"/>
          <w:b/>
          <w:color w:val="auto"/>
          <w:sz w:val="24"/>
        </w:rPr>
      </w:pPr>
      <w:r>
        <w:rPr>
          <w:rFonts w:hint="eastAsia" w:ascii="宋体" w:hAnsi="宋体" w:eastAsia="宋体" w:cs="宋体"/>
          <w:b/>
          <w:color w:val="auto"/>
          <w:sz w:val="24"/>
        </w:rPr>
        <w:t xml:space="preserve">11.不可抗力</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甲乙任何一方由于不可抗力原因不能履行合同时，应及时向对方通报不能履行或不能完全履行的理由，并在合理期限内提供有关机构出具的证明，以减轻可能给对方造成的损失，并根据情况可部分或全部免予承担违约责任。</w:t>
      </w:r>
      <w:r/>
    </w:p>
    <w:p>
      <w:pPr>
        <w:pStyle w:val="967"/>
        <w:ind w:firstLine="472"/>
        <w:spacing w:before="0" w:beforeAutospacing="0" w:after="0" w:afterAutospacing="0" w:line="360" w:lineRule="auto"/>
        <w:rPr>
          <w:rFonts w:hint="eastAsia" w:ascii="宋体" w:hAnsi="宋体" w:eastAsia="宋体" w:cs="宋体"/>
          <w:b/>
          <w:color w:val="auto"/>
        </w:rPr>
      </w:pPr>
      <w:r>
        <w:rPr>
          <w:rFonts w:hint="eastAsia" w:ascii="宋体" w:hAnsi="宋体" w:eastAsia="宋体" w:cs="宋体"/>
          <w:b/>
          <w:bCs/>
          <w:color w:val="auto"/>
        </w:rPr>
        <w:t xml:space="preserve">12.</w:t>
      </w:r>
      <w:r>
        <w:rPr>
          <w:rFonts w:hint="eastAsia" w:ascii="宋体" w:hAnsi="宋体" w:eastAsia="宋体" w:cs="宋体"/>
          <w:b/>
          <w:color w:val="auto"/>
        </w:rPr>
        <w:t xml:space="preserve">争议解决方法</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甲、乙双方因履行本合同发生争议时，应友好协商；协商不成时，向甲方所在地人民法院提出诉讼。</w:t>
      </w:r>
      <w:r/>
    </w:p>
    <w:p>
      <w:pPr>
        <w:ind w:firstLine="480"/>
        <w:spacing w:line="360" w:lineRule="auto"/>
        <w:rPr>
          <w:rFonts w:hint="eastAsia" w:ascii="宋体" w:hAnsi="宋体" w:eastAsia="宋体" w:cs="宋体"/>
          <w:b/>
          <w:bCs/>
          <w:color w:val="auto"/>
          <w:sz w:val="24"/>
        </w:rPr>
      </w:pPr>
      <w:r>
        <w:rPr>
          <w:rFonts w:hint="eastAsia" w:ascii="宋体" w:hAnsi="宋体" w:eastAsia="宋体" w:cs="宋体"/>
          <w:b/>
          <w:bCs/>
          <w:color w:val="auto"/>
          <w:sz w:val="24"/>
        </w:rPr>
        <w:t xml:space="preserve">13.其它</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13.1本合同自双方法定代表人或者授权签字人签字并加盖公章之日起生效。本合同未尽事宜，由甲乙双方另行签订补充协议，补充协议是本合同的组成部分，与本合同具有同等法律效力。</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13.2本合同壹式</w:t>
      </w:r>
      <w:r>
        <w:rPr>
          <w:rFonts w:hint="eastAsia" w:ascii="宋体" w:hAnsi="宋体" w:cs="宋体"/>
          <w:color w:val="auto"/>
          <w:sz w:val="24"/>
          <w:u w:val="single"/>
          <w:lang w:eastAsia="zh-CN"/>
        </w:rPr>
        <w:t xml:space="preserve">肆</w:t>
      </w:r>
      <w:r>
        <w:rPr>
          <w:rFonts w:hint="eastAsia" w:ascii="宋体" w:hAnsi="宋体" w:eastAsia="宋体" w:cs="宋体"/>
          <w:color w:val="auto"/>
          <w:sz w:val="24"/>
        </w:rPr>
        <w:t xml:space="preserve">份，甲方执</w:t>
      </w:r>
      <w:r>
        <w:rPr>
          <w:rFonts w:hint="eastAsia" w:ascii="宋体" w:hAnsi="宋体" w:cs="宋体"/>
          <w:color w:val="auto"/>
          <w:sz w:val="24"/>
          <w:u w:val="single"/>
          <w:lang w:eastAsia="zh-CN"/>
        </w:rPr>
        <w:t xml:space="preserve">贰</w:t>
      </w:r>
      <w:r>
        <w:rPr>
          <w:rFonts w:hint="eastAsia" w:ascii="宋体" w:hAnsi="宋体" w:eastAsia="宋体" w:cs="宋体"/>
          <w:color w:val="auto"/>
          <w:sz w:val="24"/>
        </w:rPr>
        <w:t xml:space="preserve">份，乙方执</w:t>
      </w:r>
      <w:r>
        <w:rPr>
          <w:rFonts w:hint="eastAsia" w:ascii="宋体" w:hAnsi="宋体" w:cs="宋体"/>
          <w:color w:val="auto"/>
          <w:sz w:val="24"/>
          <w:u w:val="single"/>
          <w:lang w:eastAsia="zh-CN"/>
        </w:rPr>
        <w:t xml:space="preserve">壹</w:t>
      </w:r>
      <w:r>
        <w:rPr>
          <w:rFonts w:hint="eastAsia" w:ascii="宋体" w:hAnsi="宋体" w:eastAsia="宋体" w:cs="宋体"/>
          <w:color w:val="auto"/>
          <w:sz w:val="24"/>
        </w:rPr>
        <w:t xml:space="preserve">份，备案</w:t>
      </w:r>
      <w:r>
        <w:rPr>
          <w:rFonts w:hint="eastAsia" w:ascii="宋体" w:hAnsi="宋体" w:cs="宋体"/>
          <w:color w:val="auto"/>
          <w:sz w:val="24"/>
          <w:u w:val="single"/>
          <w:lang w:eastAsia="zh-CN"/>
        </w:rPr>
        <w:t xml:space="preserve">壹</w:t>
      </w:r>
      <w:r>
        <w:rPr>
          <w:rFonts w:hint="eastAsia" w:ascii="宋体" w:hAnsi="宋体" w:eastAsia="宋体" w:cs="宋体"/>
          <w:color w:val="auto"/>
          <w:sz w:val="24"/>
        </w:rPr>
        <w:t xml:space="preserve">份。</w:t>
      </w:r>
      <w:r/>
    </w:p>
    <w:p>
      <w:pPr>
        <w:spacing w:line="360" w:lineRule="auto"/>
        <w:rPr>
          <w:rFonts w:hint="eastAsia" w:ascii="宋体" w:hAnsi="宋体" w:eastAsia="宋体" w:cs="宋体"/>
          <w:b/>
          <w:bCs/>
          <w:color w:val="auto"/>
          <w:sz w:val="24"/>
        </w:rPr>
      </w:pPr>
      <w:r>
        <w:rPr>
          <w:rFonts w:hint="eastAsia" w:ascii="宋体" w:hAnsi="宋体" w:eastAsia="宋体" w:cs="宋体"/>
          <w:color w:val="auto"/>
          <w:sz w:val="24"/>
        </w:rPr>
        <w:t xml:space="preserve">  </w:t>
      </w:r>
      <w:r>
        <w:rPr>
          <w:rFonts w:hint="eastAsia" w:ascii="宋体" w:hAnsi="宋体" w:eastAsia="宋体" w:cs="宋体"/>
          <w:b/>
          <w:bCs/>
          <w:color w:val="auto"/>
          <w:sz w:val="24"/>
        </w:rPr>
        <w:t xml:space="preserve">  14.合同附件</w:t>
      </w:r>
      <w:r/>
    </w:p>
    <w:p>
      <w:pPr>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   </w:t>
      </w:r>
      <w:r/>
    </w:p>
    <w:p>
      <w:pPr>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    （下页为合同签署页）</w:t>
      </w:r>
      <w:r/>
    </w:p>
    <w:p>
      <w:pPr>
        <w:spacing w:line="360" w:lineRule="auto"/>
        <w:rPr>
          <w:rFonts w:hint="eastAsia" w:ascii="宋体" w:hAnsi="宋体" w:eastAsia="宋体" w:cs="宋体"/>
          <w:color w:val="auto"/>
          <w:sz w:val="24"/>
        </w:rPr>
      </w:pPr>
      <w:r>
        <w:rPr>
          <w:rFonts w:hint="eastAsia" w:ascii="宋体" w:hAnsi="宋体" w:eastAsia="宋体" w:cs="宋体"/>
          <w:color w:val="auto"/>
          <w:sz w:val="24"/>
        </w:rPr>
      </w:r>
      <w:r/>
    </w:p>
    <w:p>
      <w:pPr>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甲  方：</w:t>
      </w:r>
      <w:r>
        <w:rPr>
          <w:rFonts w:hint="eastAsia" w:ascii="宋体" w:hAnsi="宋体" w:cs="宋体"/>
          <w:color w:val="auto"/>
          <w:sz w:val="24"/>
          <w:lang w:eastAsia="zh-CN"/>
        </w:rPr>
        <w:t xml:space="preserve">徐州市第一人民医院</w:t>
      </w:r>
      <w:r>
        <w:rPr>
          <w:rFonts w:hint="eastAsia" w:ascii="宋体" w:hAnsi="宋体" w:eastAsia="宋体" w:cs="宋体"/>
          <w:color w:val="auto"/>
          <w:sz w:val="24"/>
        </w:rPr>
        <w:t xml:space="preserve">           乙 方：</w:t>
      </w:r>
      <w:r/>
    </w:p>
    <w:p>
      <w:pPr>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法定代表人：                         法定代表人：                         </w:t>
      </w:r>
      <w:r/>
    </w:p>
    <w:p>
      <w:pPr>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委托代理人：                         委托代理人: </w:t>
      </w:r>
      <w:r/>
    </w:p>
    <w:p>
      <w:pPr>
        <w:ind w:left="6000" w:hanging="6000"/>
        <w:jc w:val="left"/>
        <w:spacing w:line="360" w:lineRule="auto"/>
        <w:tabs>
          <w:tab w:val="left" w:pos="4671" w:leader="none"/>
        </w:tabs>
        <w:rPr>
          <w:rFonts w:hint="eastAsia" w:ascii="宋体" w:hAnsi="宋体" w:eastAsia="宋体" w:cs="宋体"/>
          <w:color w:val="auto"/>
          <w:sz w:val="24"/>
        </w:rPr>
      </w:pPr>
      <w:r>
        <w:rPr>
          <w:rFonts w:hint="eastAsia" w:ascii="宋体" w:hAnsi="宋体" w:eastAsia="宋体" w:cs="宋体"/>
          <w:color w:val="auto"/>
          <w:sz w:val="24"/>
        </w:rPr>
        <w:t xml:space="preserve">地址：                               地址： </w:t>
      </w:r>
      <w:r/>
    </w:p>
    <w:p>
      <w:pPr>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电  话：                             电 话：</w:t>
      </w:r>
      <w:r/>
    </w:p>
    <w:p>
      <w:pPr>
        <w:ind w:left="4556" w:hanging="312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                         开 户 行：</w:t>
      </w:r>
      <w:r/>
    </w:p>
    <w:p>
      <w:pPr>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                                     账 号：  </w:t>
      </w:r>
      <w:r/>
    </w:p>
    <w:p>
      <w:pPr>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签订日期：                           签订日期： </w:t>
      </w:r>
      <w:r/>
    </w:p>
    <w:p>
      <w:pPr>
        <w:jc w:val="center"/>
        <w:rPr>
          <w:rFonts w:hint="eastAsia" w:ascii="仿宋" w:hAnsi="仿宋" w:eastAsia="仿宋" w:cs="仿宋"/>
          <w:color w:val="auto"/>
          <w:sz w:val="24"/>
        </w:rPr>
      </w:pPr>
      <w:r>
        <w:rPr>
          <w:rFonts w:hint="eastAsia" w:ascii="仿宋" w:hAnsi="仿宋" w:eastAsia="仿宋" w:cs="仿宋"/>
          <w:color w:val="auto"/>
          <w:sz w:val="24"/>
        </w:rPr>
      </w:r>
      <w:r/>
    </w:p>
    <w:p>
      <w:r/>
      <w:r/>
    </w:p>
    <w:p>
      <w:pPr>
        <w:rPr>
          <w:rFonts w:ascii="宋体"/>
          <w:b/>
          <w:sz w:val="24"/>
        </w:rPr>
      </w:pPr>
      <w:r>
        <w:rPr>
          <w:rFonts w:ascii="宋体"/>
          <w:b/>
          <w:sz w:val="24"/>
        </w:rPr>
      </w:r>
      <w:r/>
    </w:p>
    <w:p>
      <w:pPr>
        <w:pStyle w:val="863"/>
        <w:rPr>
          <w:rFonts w:ascii="宋体"/>
          <w:b/>
          <w:sz w:val="24"/>
        </w:rPr>
      </w:pPr>
      <w:r>
        <w:rPr>
          <w:rFonts w:ascii="宋体"/>
          <w:b/>
          <w:sz w:val="24"/>
        </w:rPr>
      </w:r>
      <w:r/>
    </w:p>
    <w:p>
      <w:pPr>
        <w:pStyle w:val="863"/>
        <w:rPr>
          <w:rFonts w:ascii="宋体"/>
          <w:b/>
          <w:sz w:val="24"/>
        </w:rPr>
      </w:pPr>
      <w:r>
        <w:rPr>
          <w:rFonts w:ascii="宋体"/>
          <w:b/>
          <w:sz w:val="24"/>
        </w:rPr>
      </w:r>
      <w:r/>
    </w:p>
    <w:p>
      <w:pPr>
        <w:pStyle w:val="863"/>
        <w:rPr>
          <w:rFonts w:ascii="宋体"/>
          <w:b/>
          <w:sz w:val="24"/>
        </w:rPr>
      </w:pPr>
      <w:r>
        <w:rPr>
          <w:rFonts w:ascii="宋体"/>
          <w:b/>
          <w:sz w:val="24"/>
        </w:rPr>
      </w:r>
      <w:r/>
    </w:p>
    <w:p>
      <w:pPr>
        <w:pStyle w:val="863"/>
        <w:rPr>
          <w:rFonts w:ascii="宋体"/>
          <w:b/>
          <w:sz w:val="24"/>
        </w:rPr>
      </w:pPr>
      <w:r>
        <w:rPr>
          <w:rFonts w:ascii="宋体"/>
          <w:b/>
          <w:sz w:val="24"/>
        </w:rPr>
      </w:r>
      <w:r/>
    </w:p>
    <w:p>
      <w:pPr>
        <w:pStyle w:val="863"/>
        <w:rPr>
          <w:rFonts w:ascii="宋体"/>
          <w:b/>
          <w:sz w:val="24"/>
        </w:rPr>
      </w:pPr>
      <w:r>
        <w:rPr>
          <w:rFonts w:ascii="宋体"/>
          <w:b/>
          <w:sz w:val="24"/>
        </w:rPr>
      </w:r>
      <w:r/>
    </w:p>
    <w:p>
      <w:pPr>
        <w:rPr>
          <w:rFonts w:ascii="宋体" w:hAnsi="宋体" w:cs="宋体"/>
          <w:sz w:val="24"/>
        </w:rPr>
      </w:pPr>
      <w:r>
        <w:rPr>
          <w:rFonts w:hint="eastAsia" w:ascii="宋体" w:hAnsi="宋体" w:cs="宋体"/>
          <w:sz w:val="24"/>
        </w:rPr>
        <w:br w:type="page" w:clear="all"/>
      </w:r>
      <w:r/>
    </w:p>
    <w:p>
      <w:pPr>
        <w:jc w:val="center"/>
        <w:rPr>
          <w:rFonts w:ascii="宋体" w:hAnsi="宋体" w:cs="宋体"/>
          <w:sz w:val="30"/>
          <w:szCs w:val="30"/>
        </w:rPr>
      </w:pPr>
      <w:r>
        <w:rPr>
          <w:rFonts w:hint="eastAsia" w:ascii="宋体" w:hAnsi="宋体" w:cs="宋体"/>
          <w:b/>
          <w:bCs/>
          <w:sz w:val="30"/>
          <w:szCs w:val="30"/>
        </w:rPr>
        <w:t xml:space="preserve">合同附件</w:t>
      </w:r>
      <w:r/>
    </w:p>
    <w:p>
      <w:pPr>
        <w:jc w:val="left"/>
        <w:tabs>
          <w:tab w:val="left" w:pos="7506" w:leader="none"/>
        </w:tabs>
        <w:rPr>
          <w:rFonts w:ascii="宋体" w:hAnsi="宋体" w:cs="宋体"/>
          <w:sz w:val="24"/>
        </w:rPr>
      </w:pPr>
      <w:r>
        <w:rPr>
          <w:rFonts w:hint="eastAsia" w:ascii="宋体" w:hAnsi="宋体" w:cs="宋体"/>
          <w:sz w:val="24"/>
        </w:rPr>
        <w:tab/>
      </w:r>
      <w:r/>
    </w:p>
    <w:p>
      <w:pPr>
        <w:jc w:val="center"/>
        <w:rPr>
          <w:rFonts w:ascii="宋体" w:hAnsi="宋体" w:cs="宋体"/>
          <w:sz w:val="24"/>
        </w:rPr>
      </w:pPr>
      <w:r>
        <w:rPr>
          <w:rFonts w:hint="eastAsia" w:ascii="宋体" w:hAnsi="宋体" w:cs="宋体"/>
          <w:sz w:val="24"/>
        </w:rPr>
        <w:t xml:space="preserve">目录</w:t>
      </w:r>
      <w:r/>
    </w:p>
    <w:p>
      <w:pPr>
        <w:jc w:val="center"/>
        <w:rPr>
          <w:rFonts w:ascii="宋体" w:hAnsi="宋体" w:cs="宋体"/>
          <w:sz w:val="24"/>
        </w:rPr>
      </w:pPr>
      <w:r>
        <w:rPr>
          <w:rFonts w:ascii="宋体" w:hAnsi="宋体" w:cs="宋体"/>
          <w:sz w:val="24"/>
        </w:rPr>
      </w:r>
      <w:r/>
    </w:p>
    <w:p>
      <w:pPr>
        <w:rPr>
          <w:rFonts w:ascii="宋体" w:hAnsi="宋体" w:cs="宋体"/>
          <w:sz w:val="24"/>
        </w:rPr>
      </w:pPr>
      <w:r>
        <w:rPr>
          <w:rFonts w:hint="eastAsia" w:ascii="宋体" w:hAnsi="宋体" w:cs="宋体"/>
          <w:sz w:val="24"/>
        </w:rPr>
        <w:t xml:space="preserve">合同附件1：合同协议书</w:t>
      </w:r>
      <w:r/>
    </w:p>
    <w:p>
      <w:pPr>
        <w:rPr>
          <w:rFonts w:ascii="宋体" w:hAnsi="宋体" w:cs="宋体"/>
          <w:sz w:val="24"/>
        </w:rPr>
      </w:pPr>
      <w:r>
        <w:rPr>
          <w:rFonts w:ascii="宋体" w:hAnsi="宋体" w:cs="宋体"/>
          <w:sz w:val="24"/>
        </w:rPr>
      </w:r>
      <w:r/>
    </w:p>
    <w:p>
      <w:pPr>
        <w:rPr>
          <w:rFonts w:ascii="宋体" w:hAnsi="宋体" w:cs="宋体"/>
          <w:sz w:val="24"/>
        </w:rPr>
      </w:pPr>
      <w:r>
        <w:rPr>
          <w:rFonts w:hint="eastAsia" w:ascii="宋体" w:hAnsi="宋体" w:cs="宋体"/>
          <w:sz w:val="24"/>
        </w:rPr>
        <w:t xml:space="preserve">合同附件2：技术规格和技术性能</w:t>
      </w:r>
      <w:r/>
    </w:p>
    <w:p>
      <w:pPr>
        <w:rPr>
          <w:rFonts w:ascii="宋体" w:hAnsi="宋体" w:cs="宋体"/>
          <w:sz w:val="24"/>
        </w:rPr>
      </w:pPr>
      <w:r>
        <w:rPr>
          <w:rFonts w:hint="eastAsia" w:ascii="宋体" w:hAnsi="宋体" w:cs="宋体"/>
          <w:sz w:val="24"/>
        </w:rPr>
        <w:t xml:space="preserve">（要求见招标文件第六章《采购需求》；合同见卖方投标文件中《技术规格说明》。）</w:t>
      </w:r>
      <w:r/>
    </w:p>
    <w:p>
      <w:pPr>
        <w:rPr>
          <w:rFonts w:ascii="宋体" w:hAnsi="宋体" w:cs="宋体"/>
          <w:sz w:val="24"/>
        </w:rPr>
      </w:pPr>
      <w:r>
        <w:rPr>
          <w:rFonts w:ascii="宋体" w:hAnsi="宋体" w:cs="宋体"/>
          <w:sz w:val="24"/>
        </w:rPr>
      </w:r>
      <w:r/>
    </w:p>
    <w:p>
      <w:pPr>
        <w:rPr>
          <w:rFonts w:ascii="宋体" w:hAnsi="宋体" w:cs="宋体"/>
          <w:sz w:val="24"/>
        </w:rPr>
      </w:pPr>
      <w:r>
        <w:rPr>
          <w:rFonts w:hint="eastAsia" w:ascii="宋体" w:hAnsi="宋体" w:cs="宋体"/>
          <w:sz w:val="24"/>
        </w:rPr>
        <w:t xml:space="preserve">合同附件3：售后服务</w:t>
      </w:r>
      <w:r/>
    </w:p>
    <w:p>
      <w:pPr>
        <w:rPr>
          <w:rFonts w:ascii="宋体" w:hAnsi="宋体" w:cs="宋体"/>
          <w:sz w:val="24"/>
        </w:rPr>
      </w:pPr>
      <w:r>
        <w:rPr>
          <w:rFonts w:hint="eastAsia" w:ascii="宋体" w:hAnsi="宋体" w:cs="宋体"/>
          <w:sz w:val="24"/>
        </w:rPr>
        <w:t xml:space="preserve">（要求见招标文件第六章《采购需求》；合同见卖方投标文件中《售后服务方案》。）</w:t>
      </w:r>
      <w:r/>
    </w:p>
    <w:p>
      <w:pPr>
        <w:rPr>
          <w:rFonts w:ascii="宋体" w:hAnsi="宋体" w:cs="宋体"/>
          <w:sz w:val="24"/>
        </w:rPr>
      </w:pPr>
      <w:r>
        <w:rPr>
          <w:rFonts w:ascii="宋体" w:hAnsi="宋体" w:cs="宋体"/>
          <w:sz w:val="24"/>
        </w:rPr>
      </w:r>
      <w:r/>
    </w:p>
    <w:p>
      <w:pPr>
        <w:rPr>
          <w:rFonts w:ascii="宋体" w:hAnsi="宋体" w:cs="宋体"/>
          <w:sz w:val="24"/>
        </w:rPr>
      </w:pPr>
      <w:r>
        <w:rPr>
          <w:rFonts w:hint="eastAsia" w:ascii="宋体" w:hAnsi="宋体" w:cs="宋体"/>
          <w:sz w:val="24"/>
        </w:rPr>
        <w:t xml:space="preserve">合同附件4：供货范围和价格清单</w:t>
      </w:r>
      <w:r/>
    </w:p>
    <w:p>
      <w:pPr>
        <w:rPr>
          <w:rFonts w:ascii="宋体" w:hAnsi="宋体" w:cs="宋体"/>
          <w:sz w:val="24"/>
        </w:rPr>
      </w:pPr>
      <w:r>
        <w:rPr>
          <w:rFonts w:hint="eastAsia" w:ascii="宋体" w:hAnsi="宋体" w:cs="宋体"/>
          <w:sz w:val="24"/>
        </w:rPr>
        <w:t xml:space="preserve">（要求见招标文件第七章《投标文件相关格式》中《开标一览表》和《分项价格表》；合同见卖方投标文件中《开标一览表》和《分项价格表》。）</w:t>
      </w:r>
      <w:r/>
    </w:p>
    <w:p>
      <w:pPr>
        <w:rPr>
          <w:rFonts w:ascii="宋体" w:hAnsi="宋体" w:cs="宋体"/>
          <w:sz w:val="24"/>
        </w:rPr>
      </w:pPr>
      <w:r>
        <w:rPr>
          <w:rFonts w:ascii="宋体" w:hAnsi="宋体" w:cs="宋体"/>
          <w:sz w:val="24"/>
        </w:rPr>
      </w:r>
      <w:r/>
    </w:p>
    <w:p>
      <w:pPr>
        <w:rPr>
          <w:rFonts w:ascii="宋体" w:hAnsi="宋体" w:cs="宋体"/>
          <w:sz w:val="24"/>
        </w:rPr>
      </w:pPr>
      <w:r>
        <w:rPr>
          <w:rFonts w:hint="eastAsia" w:ascii="宋体" w:hAnsi="宋体" w:cs="宋体"/>
          <w:sz w:val="24"/>
        </w:rPr>
        <w:t xml:space="preserve">合同附件5：验收标准（验收要求、验收标准和程序）</w:t>
      </w:r>
      <w:r/>
    </w:p>
    <w:p>
      <w:pPr>
        <w:rPr>
          <w:rFonts w:ascii="宋体" w:hAnsi="宋体" w:cs="宋体"/>
          <w:sz w:val="24"/>
        </w:rPr>
      </w:pPr>
      <w:r>
        <w:rPr>
          <w:rFonts w:ascii="宋体" w:hAnsi="宋体" w:cs="宋体"/>
          <w:sz w:val="24"/>
        </w:rPr>
      </w:r>
      <w:r/>
    </w:p>
    <w:p>
      <w:pPr>
        <w:rPr>
          <w:rFonts w:ascii="宋体" w:hAnsi="宋体" w:cs="宋体"/>
          <w:sz w:val="24"/>
        </w:rPr>
      </w:pPr>
      <w:r>
        <w:rPr>
          <w:rFonts w:hint="eastAsia" w:ascii="宋体" w:hAnsi="宋体" w:cs="宋体"/>
          <w:sz w:val="24"/>
        </w:rPr>
        <w:t xml:space="preserve">合同附件6：采购需求</w:t>
      </w:r>
      <w:r/>
    </w:p>
    <w:p>
      <w:pPr>
        <w:rPr>
          <w:rFonts w:ascii="宋体" w:hAnsi="宋体" w:cs="宋体"/>
          <w:sz w:val="24"/>
        </w:rPr>
      </w:pPr>
      <w:r>
        <w:rPr>
          <w:rFonts w:hint="eastAsia" w:ascii="宋体" w:hAnsi="宋体" w:cs="宋体"/>
          <w:sz w:val="24"/>
        </w:rPr>
        <w:t xml:space="preserve">（见招标文件第六章《采购需求》。）</w:t>
      </w:r>
      <w:r/>
    </w:p>
    <w:p>
      <w:pPr>
        <w:rPr>
          <w:rFonts w:ascii="宋体" w:hAnsi="宋体" w:cs="宋体"/>
          <w:sz w:val="24"/>
        </w:rPr>
      </w:pPr>
      <w:r>
        <w:rPr>
          <w:rFonts w:ascii="宋体" w:hAnsi="宋体" w:cs="宋体"/>
          <w:sz w:val="24"/>
        </w:rPr>
      </w:r>
      <w:r/>
    </w:p>
    <w:p>
      <w:pPr>
        <w:rPr>
          <w:rFonts w:ascii="宋体" w:hAnsi="宋体" w:cs="宋体"/>
          <w:sz w:val="24"/>
        </w:rPr>
      </w:pPr>
      <w:r>
        <w:rPr>
          <w:rFonts w:ascii="宋体" w:hAnsi="宋体" w:cs="宋体"/>
          <w:sz w:val="24"/>
        </w:rPr>
      </w:r>
      <w:r/>
    </w:p>
    <w:p>
      <w:pPr>
        <w:ind w:firstLine="2700"/>
        <w:rPr>
          <w:rFonts w:ascii="宋体" w:hAnsi="宋体" w:cs="宋体"/>
          <w:sz w:val="30"/>
          <w:szCs w:val="30"/>
        </w:rPr>
      </w:pPr>
      <w:r>
        <w:rPr>
          <w:rFonts w:ascii="宋体" w:hAnsi="宋体" w:cs="宋体"/>
          <w:sz w:val="30"/>
          <w:szCs w:val="30"/>
        </w:rPr>
      </w:r>
      <w:r/>
    </w:p>
    <w:p>
      <w:pPr>
        <w:ind w:firstLine="2700"/>
        <w:rPr>
          <w:rFonts w:ascii="宋体" w:hAnsi="宋体" w:cs="宋体"/>
          <w:sz w:val="30"/>
          <w:szCs w:val="30"/>
        </w:rPr>
      </w:pPr>
      <w:r>
        <w:rPr>
          <w:rFonts w:ascii="宋体" w:hAnsi="宋体" w:cs="宋体"/>
          <w:sz w:val="30"/>
          <w:szCs w:val="30"/>
        </w:rPr>
      </w:r>
      <w:r/>
    </w:p>
    <w:p>
      <w:pPr>
        <w:ind w:firstLine="2700"/>
        <w:rPr>
          <w:rFonts w:ascii="宋体" w:hAnsi="宋体" w:cs="宋体"/>
          <w:sz w:val="30"/>
          <w:szCs w:val="30"/>
        </w:rPr>
      </w:pPr>
      <w:r>
        <w:rPr>
          <w:rFonts w:ascii="宋体" w:hAnsi="宋体" w:cs="宋体"/>
          <w:sz w:val="30"/>
          <w:szCs w:val="30"/>
        </w:rPr>
      </w:r>
      <w:r/>
    </w:p>
    <w:p>
      <w:pPr>
        <w:ind w:firstLine="2700"/>
        <w:rPr>
          <w:rFonts w:ascii="宋体" w:hAnsi="宋体" w:cs="宋体"/>
          <w:sz w:val="30"/>
          <w:szCs w:val="30"/>
        </w:rPr>
      </w:pPr>
      <w:r>
        <w:rPr>
          <w:rFonts w:ascii="宋体" w:hAnsi="宋体" w:cs="宋体"/>
          <w:sz w:val="30"/>
          <w:szCs w:val="30"/>
        </w:rPr>
      </w:r>
      <w:r/>
    </w:p>
    <w:p>
      <w:pPr>
        <w:jc w:val="center"/>
        <w:rPr>
          <w:rFonts w:ascii="宋体" w:hAnsi="宋体" w:cs="宋体"/>
          <w:sz w:val="30"/>
          <w:szCs w:val="30"/>
        </w:rPr>
      </w:pPr>
      <w:r>
        <w:rPr>
          <w:rFonts w:ascii="宋体" w:hAnsi="宋体" w:cs="宋体"/>
          <w:sz w:val="30"/>
          <w:szCs w:val="30"/>
        </w:rPr>
      </w:r>
      <w:r/>
    </w:p>
    <w:p>
      <w:pPr>
        <w:rPr>
          <w:rFonts w:ascii="宋体" w:hAnsi="宋体" w:cs="宋体"/>
          <w:b/>
          <w:bCs/>
          <w:sz w:val="24"/>
        </w:rPr>
        <w:sectPr>
          <w:footnotePr/>
          <w:endnotePr/>
          <w:type w:val="nextPage"/>
          <w:pgSz w:w="11906" w:h="16838" w:orient="portrait"/>
          <w:pgMar w:top="1440" w:right="1803" w:bottom="1440" w:left="1803" w:header="851" w:footer="992" w:gutter="0"/>
          <w:pgNumType w:start="1"/>
          <w:cols w:num="1" w:sep="0" w:space="1701" w:equalWidth="1"/>
          <w:docGrid w:linePitch="360"/>
        </w:sectPr>
      </w:pPr>
      <w:r>
        <w:rPr>
          <w:rFonts w:ascii="宋体" w:hAnsi="宋体" w:cs="宋体"/>
          <w:b/>
          <w:bCs/>
          <w:sz w:val="24"/>
        </w:rPr>
      </w:r>
      <w:r/>
    </w:p>
    <w:p>
      <w:pPr>
        <w:rPr>
          <w:rFonts w:ascii="宋体" w:hAnsi="宋体" w:cs="宋体"/>
          <w:b/>
          <w:bCs/>
          <w:sz w:val="24"/>
        </w:rPr>
      </w:pPr>
      <w:r>
        <w:rPr>
          <w:rFonts w:hint="eastAsia" w:ascii="宋体" w:hAnsi="宋体" w:cs="宋体"/>
          <w:b/>
          <w:bCs/>
          <w:sz w:val="24"/>
        </w:rPr>
        <w:t xml:space="preserve">合同附件1：</w:t>
      </w:r>
      <w:r/>
    </w:p>
    <w:p>
      <w:pPr>
        <w:jc w:val="center"/>
        <w:rPr>
          <w:rFonts w:ascii="宋体" w:hAnsi="宋体" w:cs="宋体"/>
          <w:b/>
          <w:bCs/>
          <w:sz w:val="28"/>
          <w:szCs w:val="28"/>
        </w:rPr>
      </w:pPr>
      <w:r>
        <w:rPr>
          <w:rFonts w:hint="eastAsia" w:ascii="宋体" w:hAnsi="宋体" w:cs="宋体"/>
          <w:b/>
          <w:bCs/>
          <w:sz w:val="28"/>
          <w:szCs w:val="28"/>
        </w:rPr>
        <w:t xml:space="preserve">合同协议书</w:t>
      </w:r>
      <w:r/>
    </w:p>
    <w:p>
      <w:pPr>
        <w:jc w:val="right"/>
        <w:rPr>
          <w:rFonts w:ascii="宋体" w:hAnsi="宋体" w:cs="宋体"/>
          <w:sz w:val="24"/>
        </w:rPr>
      </w:pPr>
      <w:r>
        <w:rPr>
          <w:rFonts w:hint="eastAsia" w:ascii="宋体" w:hAnsi="宋体" w:cs="宋体"/>
          <w:sz w:val="24"/>
        </w:rPr>
        <w:t xml:space="preserve">合同编号：____________ </w:t>
      </w:r>
      <w:r/>
    </w:p>
    <w:p>
      <w:pPr>
        <w:jc w:val="right"/>
        <w:rPr>
          <w:rFonts w:ascii="宋体" w:hAnsi="宋体" w:cs="宋体"/>
          <w:sz w:val="24"/>
        </w:rPr>
      </w:pPr>
      <w:r>
        <w:rPr>
          <w:rFonts w:hint="eastAsia" w:ascii="宋体" w:hAnsi="宋体" w:cs="宋体"/>
          <w:sz w:val="24"/>
        </w:rPr>
        <w:t xml:space="preserve">签字日期：____________ </w:t>
      </w:r>
      <w:r/>
    </w:p>
    <w:p>
      <w:pPr>
        <w:jc w:val="right"/>
        <w:rPr>
          <w:rFonts w:ascii="宋体" w:hAnsi="宋体" w:cs="宋体"/>
          <w:sz w:val="24"/>
        </w:rPr>
      </w:pPr>
      <w:r>
        <w:rPr>
          <w:rFonts w:hint="eastAsia" w:ascii="宋体" w:hAnsi="宋体" w:cs="宋体"/>
          <w:sz w:val="24"/>
        </w:rPr>
        <w:t xml:space="preserve">签字地点：____________ </w:t>
      </w:r>
      <w:r/>
    </w:p>
    <w:p>
      <w:pPr>
        <w:ind w:firstLine="410"/>
        <w:rPr>
          <w:rFonts w:ascii="宋体" w:hAnsi="宋体" w:cs="宋体"/>
          <w:sz w:val="24"/>
        </w:rPr>
      </w:pPr>
      <w:r>
        <w:rPr>
          <w:rFonts w:ascii="宋体" w:hAnsi="宋体" w:cs="宋体"/>
          <w:sz w:val="24"/>
        </w:rPr>
      </w:r>
      <w:r/>
    </w:p>
    <w:p>
      <w:pPr>
        <w:ind w:firstLine="359"/>
        <w:rPr>
          <w:rFonts w:ascii="宋体" w:hAnsi="宋体" w:cs="宋体"/>
          <w:sz w:val="24"/>
        </w:rPr>
      </w:pPr>
      <w:r>
        <w:rPr>
          <w:rFonts w:hint="eastAsia" w:ascii="宋体" w:hAnsi="宋体" w:cs="宋体"/>
          <w:sz w:val="24"/>
          <w:u w:val="single"/>
        </w:rPr>
        <w:t xml:space="preserve">       </w:t>
      </w:r>
      <w:r>
        <w:rPr>
          <w:rFonts w:hint="eastAsia" w:ascii="宋体" w:hAnsi="宋体" w:cs="宋体"/>
          <w:sz w:val="24"/>
        </w:rPr>
        <w:t xml:space="preserve">（买方名称）（以下简称“买方”）已接受</w:t>
      </w:r>
      <w:r>
        <w:rPr>
          <w:rFonts w:hint="eastAsia" w:ascii="宋体" w:hAnsi="宋体" w:cs="宋体"/>
          <w:sz w:val="24"/>
          <w:u w:val="single"/>
        </w:rPr>
        <w:t xml:space="preserve">        </w:t>
      </w:r>
      <w:r>
        <w:rPr>
          <w:rFonts w:hint="eastAsia" w:ascii="宋体" w:hAnsi="宋体" w:cs="宋体"/>
          <w:sz w:val="24"/>
        </w:rPr>
        <w:t xml:space="preserve">（卖方名称）（以下简称“卖方”）对徐州市第一人民医院口服药单剂量分包机（项目名称）（项目编号：</w:t>
      </w:r>
      <w:r>
        <w:rPr>
          <w:rFonts w:hint="eastAsia" w:ascii="宋体" w:hAnsi="宋体" w:cs="宋体"/>
          <w:sz w:val="24"/>
          <w:lang w:eastAsia="zh-CN"/>
        </w:rPr>
        <w:t xml:space="preserve">JSZC-320300-JSZR-G2025-0124</w:t>
      </w:r>
      <w:r>
        <w:rPr>
          <w:rFonts w:hint="eastAsia" w:ascii="宋体" w:hAnsi="宋体" w:cs="宋体"/>
          <w:sz w:val="24"/>
        </w:rPr>
        <w:t xml:space="preserve">）的投标。买方和卖方共同达成如下协议。</w:t>
      </w:r>
      <w:r/>
    </w:p>
    <w:p>
      <w:pPr>
        <w:numPr>
          <w:ilvl w:val="0"/>
          <w:numId w:val="2"/>
        </w:numPr>
        <w:rPr>
          <w:rFonts w:ascii="宋体" w:hAnsi="宋体" w:cs="宋体"/>
          <w:sz w:val="24"/>
        </w:rPr>
      </w:pPr>
      <w:r>
        <w:rPr>
          <w:rFonts w:hint="eastAsia" w:ascii="宋体" w:hAnsi="宋体" w:cs="宋体"/>
          <w:sz w:val="24"/>
        </w:rPr>
        <w:t xml:space="preserve">本合同协议书中的词语和术语的含义与合同条款中定义的相同。</w:t>
      </w:r>
      <w:r/>
    </w:p>
    <w:p>
      <w:pPr>
        <w:ind w:firstLine="360"/>
        <w:rPr>
          <w:rFonts w:ascii="宋体" w:hAnsi="宋体" w:cs="宋体"/>
          <w:sz w:val="24"/>
        </w:rPr>
      </w:pPr>
      <w:r>
        <w:rPr>
          <w:rFonts w:hint="eastAsia" w:ascii="宋体" w:hAnsi="宋体" w:cs="宋体"/>
          <w:sz w:val="24"/>
        </w:rPr>
        <w:t xml:space="preserve">2. 以下文件应构成买方和卖方之间达成的合同，若各文件之间存在含糊不清或互相冲突之处，优先顺序应按下列文件顺序解释。</w:t>
      </w:r>
      <w:r/>
    </w:p>
    <w:p>
      <w:pPr>
        <w:ind w:left="420"/>
        <w:rPr>
          <w:rFonts w:ascii="宋体" w:hAnsi="宋体" w:cs="宋体"/>
          <w:sz w:val="24"/>
        </w:rPr>
      </w:pPr>
      <w:r>
        <w:rPr>
          <w:rFonts w:hint="eastAsia" w:ascii="宋体" w:hAnsi="宋体" w:cs="宋体"/>
          <w:sz w:val="24"/>
        </w:rPr>
        <w:t xml:space="preserve">(1) 合同协议书</w:t>
      </w:r>
      <w:r/>
    </w:p>
    <w:p>
      <w:pPr>
        <w:ind w:left="420"/>
        <w:rPr>
          <w:rFonts w:ascii="宋体" w:hAnsi="宋体" w:cs="宋体"/>
          <w:sz w:val="24"/>
        </w:rPr>
      </w:pPr>
      <w:r>
        <w:rPr>
          <w:rFonts w:hint="eastAsia" w:ascii="宋体" w:hAnsi="宋体" w:cs="宋体"/>
          <w:sz w:val="24"/>
        </w:rPr>
        <w:t xml:space="preserve">(2) 中标通知书</w:t>
      </w:r>
      <w:r/>
    </w:p>
    <w:p>
      <w:pPr>
        <w:ind w:left="420"/>
        <w:rPr>
          <w:rFonts w:ascii="宋体" w:hAnsi="宋体" w:cs="宋体"/>
          <w:sz w:val="24"/>
        </w:rPr>
      </w:pPr>
      <w:r>
        <w:rPr>
          <w:rFonts w:hint="eastAsia" w:ascii="宋体" w:hAnsi="宋体" w:cs="宋体"/>
          <w:sz w:val="24"/>
        </w:rPr>
        <w:t xml:space="preserve">(3) 合同专用条款</w:t>
      </w:r>
      <w:r/>
    </w:p>
    <w:p>
      <w:pPr>
        <w:ind w:left="420"/>
        <w:rPr>
          <w:rFonts w:ascii="宋体" w:hAnsi="宋体" w:cs="宋体"/>
          <w:sz w:val="24"/>
        </w:rPr>
      </w:pPr>
      <w:r>
        <w:rPr>
          <w:rFonts w:hint="eastAsia" w:ascii="宋体" w:hAnsi="宋体" w:cs="宋体"/>
          <w:sz w:val="24"/>
        </w:rPr>
        <w:t xml:space="preserve">(4) 合同通用条款</w:t>
      </w:r>
      <w:r/>
    </w:p>
    <w:p>
      <w:pPr>
        <w:ind w:left="420"/>
        <w:rPr>
          <w:rFonts w:ascii="宋体" w:hAnsi="宋体" w:cs="宋体"/>
          <w:sz w:val="24"/>
        </w:rPr>
      </w:pPr>
      <w:r>
        <w:rPr>
          <w:rFonts w:hint="eastAsia" w:ascii="宋体" w:hAnsi="宋体" w:cs="宋体"/>
          <w:sz w:val="24"/>
        </w:rPr>
        <w:t xml:space="preserve">(5) 除合同附件1外的合同附件</w:t>
      </w:r>
      <w:r/>
    </w:p>
    <w:p>
      <w:pPr>
        <w:ind w:left="420"/>
        <w:rPr>
          <w:rFonts w:ascii="宋体" w:hAnsi="宋体" w:cs="宋体"/>
          <w:sz w:val="24"/>
        </w:rPr>
      </w:pPr>
      <w:r>
        <w:rPr>
          <w:rFonts w:hint="eastAsia" w:ascii="宋体" w:hAnsi="宋体" w:cs="宋体"/>
          <w:sz w:val="24"/>
        </w:rPr>
        <w:t xml:space="preserve">(6) 其他文件</w:t>
      </w:r>
      <w:r/>
    </w:p>
    <w:p>
      <w:pPr>
        <w:ind w:firstLine="540"/>
        <w:rPr>
          <w:rFonts w:ascii="宋体" w:hAnsi="宋体" w:cs="宋体"/>
          <w:sz w:val="24"/>
        </w:rPr>
      </w:pPr>
      <w:r>
        <w:rPr>
          <w:rFonts w:hint="eastAsia" w:ascii="宋体" w:hAnsi="宋体" w:cs="宋体"/>
          <w:sz w:val="24"/>
        </w:rPr>
        <w:t xml:space="preserve">3. 考虑到买方将按照本合同向卖方支付合同价款，卖方在此保证全部按照合同的规定向买方提供合同标的、技术资料、售后服务及技术培训。</w:t>
      </w:r>
      <w:r/>
    </w:p>
    <w:p>
      <w:pPr>
        <w:ind w:firstLine="540"/>
        <w:rPr>
          <w:rFonts w:ascii="宋体" w:hAnsi="宋体" w:cs="宋体"/>
          <w:sz w:val="24"/>
        </w:rPr>
      </w:pPr>
      <w:r>
        <w:rPr>
          <w:rFonts w:hint="eastAsia" w:ascii="宋体" w:hAnsi="宋体" w:cs="宋体"/>
          <w:sz w:val="24"/>
        </w:rPr>
        <w:t xml:space="preserve">4. 考虑到卖方将按合同规定提供合同标的、技术资料、售后服务及技术培训，买方在此保证按照合同规定的时间和方式向卖方支付合同价款。</w:t>
      </w:r>
      <w:r/>
    </w:p>
    <w:p>
      <w:pPr>
        <w:ind w:firstLine="540"/>
        <w:rPr>
          <w:rFonts w:ascii="宋体" w:hAnsi="宋体" w:cs="宋体"/>
          <w:sz w:val="24"/>
        </w:rPr>
      </w:pPr>
      <w:r>
        <w:rPr>
          <w:rFonts w:hint="eastAsia" w:ascii="宋体" w:hAnsi="宋体" w:cs="宋体"/>
          <w:sz w:val="24"/>
        </w:rPr>
        <w:t xml:space="preserve">5. 本合同在下列条件全部满足后生效，生效日期以下列条件全部满足的最晚日期为准：双方加盖公章或合同专用章； </w:t>
      </w:r>
      <w:r/>
    </w:p>
    <w:p>
      <w:pPr>
        <w:ind w:firstLine="480"/>
        <w:rPr>
          <w:rFonts w:ascii="宋体" w:hAnsi="宋体" w:cs="宋体"/>
          <w:sz w:val="24"/>
        </w:rPr>
      </w:pPr>
      <w:r>
        <w:rPr>
          <w:rFonts w:hint="eastAsia" w:ascii="宋体" w:hAnsi="宋体" w:cs="宋体"/>
          <w:sz w:val="24"/>
        </w:rPr>
        <w:t xml:space="preserve">6. 合同一式</w:t>
      </w:r>
      <w:r>
        <w:rPr>
          <w:rFonts w:hint="eastAsia" w:ascii="宋体" w:hAnsi="宋体" w:cs="宋体"/>
          <w:sz w:val="24"/>
          <w:u w:val="single"/>
        </w:rPr>
        <w:t xml:space="preserve">  </w:t>
      </w:r>
      <w:r>
        <w:rPr>
          <w:rFonts w:hint="eastAsia" w:ascii="宋体" w:hAnsi="宋体" w:cs="宋体"/>
          <w:sz w:val="24"/>
        </w:rPr>
        <w:t xml:space="preserve">份，具有同等法律效力，买方</w:t>
      </w:r>
      <w:r>
        <w:rPr>
          <w:rFonts w:hint="eastAsia" w:ascii="宋体" w:hAnsi="宋体" w:cs="宋体"/>
          <w:sz w:val="24"/>
          <w:u w:val="single"/>
        </w:rPr>
        <w:t xml:space="preserve">  </w:t>
      </w:r>
      <w:r>
        <w:rPr>
          <w:rFonts w:hint="eastAsia" w:ascii="宋体" w:hAnsi="宋体" w:cs="宋体"/>
          <w:sz w:val="24"/>
        </w:rPr>
        <w:t xml:space="preserve">份，卖方</w:t>
      </w:r>
      <w:r>
        <w:rPr>
          <w:rFonts w:hint="eastAsia" w:ascii="宋体" w:hAnsi="宋体" w:cs="宋体"/>
          <w:sz w:val="24"/>
          <w:u w:val="single"/>
        </w:rPr>
        <w:t xml:space="preserve">  </w:t>
      </w:r>
      <w:r>
        <w:rPr>
          <w:rFonts w:hint="eastAsia" w:ascii="宋体" w:hAnsi="宋体" w:cs="宋体"/>
          <w:sz w:val="24"/>
        </w:rPr>
        <w:t xml:space="preserve">份，江苏中瑞建设项目管理有限公司一份存档。</w:t>
      </w:r>
      <w:r/>
    </w:p>
    <w:p>
      <w:pPr>
        <w:ind w:firstLine="480"/>
        <w:rPr>
          <w:rFonts w:ascii="宋体" w:hAnsi="宋体" w:cs="宋体"/>
          <w:sz w:val="24"/>
        </w:rPr>
      </w:pPr>
      <w:r>
        <w:rPr>
          <w:rFonts w:hint="eastAsia" w:ascii="宋体" w:hAnsi="宋体" w:cs="宋体"/>
          <w:sz w:val="24"/>
        </w:rPr>
        <w:t xml:space="preserve">7.本合同其他未尽事宜及与采购文件有矛盾之处，以采购文件[项目编号：</w:t>
      </w:r>
      <w:r>
        <w:rPr>
          <w:rFonts w:hint="eastAsia" w:ascii="宋体" w:hAnsi="宋体" w:cs="宋体"/>
          <w:sz w:val="24"/>
          <w:lang w:eastAsia="zh-CN"/>
        </w:rPr>
        <w:t xml:space="preserve">JSZC-320300-JSZR-G2025-0124</w:t>
      </w:r>
      <w:r>
        <w:rPr>
          <w:rFonts w:hint="eastAsia" w:ascii="宋体" w:hAnsi="宋体" w:cs="宋体"/>
          <w:sz w:val="24"/>
        </w:rPr>
        <w:t xml:space="preserve">]为准。</w:t>
      </w:r>
      <w:r/>
    </w:p>
    <w:p>
      <w:pPr>
        <w:ind w:firstLine="360"/>
        <w:rPr>
          <w:rFonts w:ascii="宋体" w:hAnsi="宋体" w:cs="宋体"/>
          <w:sz w:val="24"/>
        </w:rPr>
      </w:pPr>
      <w:r>
        <w:rPr>
          <w:rFonts w:ascii="宋体" w:hAnsi="宋体" w:cs="宋体"/>
          <w:sz w:val="24"/>
        </w:rPr>
      </w:r>
      <w:r/>
    </w:p>
    <w:p>
      <w:pPr>
        <w:ind w:firstLine="360"/>
        <w:rPr>
          <w:rFonts w:ascii="宋体" w:hAnsi="宋体" w:cs="宋体"/>
          <w:sz w:val="24"/>
        </w:rPr>
      </w:pPr>
      <w:r>
        <w:rPr>
          <w:rFonts w:hint="eastAsia" w:ascii="宋体" w:hAnsi="宋体" w:cs="宋体"/>
          <w:sz w:val="24"/>
        </w:rPr>
        <w:t xml:space="preserve">买方和卖方由其正式授权代表于上述所写日期和地点签订本合同。</w:t>
      </w:r>
      <w:r/>
    </w:p>
    <w:p>
      <w:pPr>
        <w:rPr>
          <w:rFonts w:ascii="宋体" w:hAnsi="宋体" w:cs="宋体"/>
          <w:sz w:val="24"/>
        </w:rPr>
      </w:pPr>
      <w:r>
        <w:rPr>
          <w:rFonts w:ascii="宋体" w:hAnsi="宋体" w:cs="宋体"/>
          <w:sz w:val="24"/>
        </w:rPr>
      </w:r>
      <w:r/>
    </w:p>
    <w:p>
      <w:pPr>
        <w:rPr>
          <w:rFonts w:ascii="宋体" w:hAnsi="宋体" w:cs="宋体"/>
          <w:sz w:val="24"/>
        </w:rPr>
      </w:pPr>
      <w:r>
        <w:rPr>
          <w:rFonts w:hint="eastAsia" w:ascii="宋体" w:hAnsi="宋体" w:cs="宋体"/>
          <w:sz w:val="24"/>
        </w:rPr>
        <w:t xml:space="preserve">买方（签章）：____________________________________  </w:t>
      </w:r>
      <w:r/>
    </w:p>
    <w:p>
      <w:pPr>
        <w:rPr>
          <w:rFonts w:ascii="宋体" w:hAnsi="宋体" w:cs="宋体"/>
          <w:sz w:val="24"/>
        </w:rPr>
      </w:pPr>
      <w:r>
        <w:rPr>
          <w:rFonts w:hint="eastAsia" w:ascii="宋体" w:hAnsi="宋体" w:cs="宋体"/>
          <w:sz w:val="24"/>
        </w:rPr>
        <w:t xml:space="preserve">法定代表人或授权代表（签名）： ____________________ </w:t>
      </w:r>
      <w:r/>
    </w:p>
    <w:p>
      <w:pPr>
        <w:ind w:firstLine="3360"/>
        <w:rPr>
          <w:rFonts w:ascii="宋体" w:hAnsi="宋体" w:cs="宋体"/>
          <w:sz w:val="24"/>
        </w:rPr>
      </w:pPr>
      <w:r>
        <w:rPr>
          <w:rFonts w:ascii="宋体" w:hAnsi="宋体" w:cs="宋体"/>
          <w:sz w:val="24"/>
        </w:rPr>
      </w:r>
      <w:r/>
    </w:p>
    <w:p>
      <w:pPr>
        <w:rPr>
          <w:rFonts w:ascii="宋体" w:hAnsi="宋体" w:cs="宋体"/>
          <w:sz w:val="24"/>
        </w:rPr>
      </w:pPr>
      <w:r>
        <w:rPr>
          <w:rFonts w:hint="eastAsia" w:ascii="宋体" w:hAnsi="宋体" w:cs="宋体"/>
          <w:sz w:val="24"/>
        </w:rPr>
        <w:t xml:space="preserve">卖方（签章）： ____________________________________ </w:t>
      </w:r>
      <w:r/>
    </w:p>
    <w:p>
      <w:pPr>
        <w:rPr>
          <w:rFonts w:ascii="宋体" w:hAnsi="宋体" w:cs="宋体"/>
          <w:sz w:val="24"/>
        </w:rPr>
      </w:pPr>
      <w:r>
        <w:rPr>
          <w:rFonts w:hint="eastAsia" w:ascii="宋体" w:hAnsi="宋体" w:cs="宋体"/>
          <w:sz w:val="24"/>
        </w:rPr>
        <w:t xml:space="preserve">法定代表人或授权代表（签名）： ____________________ </w:t>
      </w:r>
      <w:r/>
    </w:p>
    <w:p>
      <w:pPr>
        <w:jc w:val="center"/>
        <w:rPr>
          <w:rFonts w:ascii="宋体" w:hAnsi="宋体" w:cs="宋体"/>
          <w:sz w:val="30"/>
          <w:szCs w:val="30"/>
        </w:rPr>
      </w:pPr>
      <w:r>
        <w:rPr>
          <w:rFonts w:ascii="宋体" w:hAnsi="宋体" w:cs="宋体"/>
          <w:sz w:val="30"/>
          <w:szCs w:val="30"/>
        </w:rPr>
      </w:r>
      <w:r/>
    </w:p>
    <w:p>
      <w:pPr>
        <w:rPr>
          <w:rFonts w:ascii="宋体" w:hAnsi="宋体" w:cs="宋体"/>
          <w:b/>
          <w:bCs/>
          <w:sz w:val="24"/>
        </w:rPr>
        <w:sectPr>
          <w:headerReference w:type="default" r:id="rId12"/>
          <w:footerReference w:type="default" r:id="rId16"/>
          <w:footnotePr/>
          <w:endnotePr/>
          <w:type w:val="nextPage"/>
          <w:pgSz w:w="11906" w:h="16838" w:orient="portrait"/>
          <w:pgMar w:top="1440" w:right="1803" w:bottom="1440" w:left="1803" w:header="851" w:footer="992" w:gutter="0"/>
          <w:pgNumType w:start="1"/>
          <w:cols w:num="1" w:sep="0" w:space="1701" w:equalWidth="1"/>
          <w:docGrid w:linePitch="360"/>
        </w:sectPr>
      </w:pPr>
      <w:r>
        <w:rPr>
          <w:rFonts w:ascii="宋体" w:hAnsi="宋体" w:cs="宋体"/>
          <w:b/>
          <w:bCs/>
          <w:sz w:val="24"/>
        </w:rPr>
      </w:r>
      <w:r/>
    </w:p>
    <w:p>
      <w:pPr>
        <w:jc w:val="center"/>
        <w:spacing w:line="360" w:lineRule="auto"/>
        <w:rPr>
          <w:rFonts w:ascii="宋体" w:hAnsi="宋体" w:cs="宋体"/>
          <w:sz w:val="32"/>
          <w:szCs w:val="32"/>
        </w:rPr>
      </w:pPr>
      <w:r>
        <w:rPr>
          <w:rFonts w:hint="eastAsia" w:ascii="宋体" w:hAnsi="宋体" w:cs="宋体"/>
          <w:b/>
          <w:sz w:val="28"/>
          <w:szCs w:val="28"/>
        </w:rPr>
        <w:t xml:space="preserve">第六章 采购需求</w:t>
      </w:r>
      <w:bookmarkStart w:id="0" w:name="_Toc324452802"/>
      <w:r/>
      <w:bookmarkEnd w:id="0"/>
      <w:r/>
      <w:bookmarkStart w:id="1" w:name="_Toc322457054"/>
      <w:r/>
      <w:bookmarkEnd w:id="1"/>
      <w:r/>
      <w:r/>
    </w:p>
    <w:p>
      <w:pPr>
        <w:spacing w:line="360" w:lineRule="auto"/>
      </w:pPr>
      <w:r>
        <w:rPr>
          <w:rFonts w:hint="eastAsia" w:ascii="宋体" w:hAnsi="宋体" w:cs="宋体"/>
          <w:b/>
          <w:sz w:val="24"/>
        </w:rPr>
        <w:t xml:space="preserve">一、</w:t>
      </w:r>
      <w:r>
        <w:rPr>
          <w:rStyle w:val="950"/>
          <w:rFonts w:hint="eastAsia" w:ascii="宋体" w:hAnsi="宋体" w:cs="宋体"/>
          <w:b/>
          <w:bCs/>
          <w:sz w:val="24"/>
        </w:rPr>
        <w:t xml:space="preserve">本项目为</w:t>
      </w:r>
      <w:r>
        <w:rPr>
          <w:rFonts w:hint="eastAsia" w:ascii="宋体" w:hAnsi="宋体" w:cs="宋体"/>
          <w:b/>
          <w:sz w:val="24"/>
        </w:rPr>
        <w:t xml:space="preserve">徐州市第一人民医院口服药单剂量分包机</w:t>
      </w:r>
      <w:r>
        <w:rPr>
          <w:rStyle w:val="950"/>
          <w:rFonts w:hint="eastAsia" w:ascii="宋体" w:hAnsi="宋体" w:cs="宋体"/>
          <w:b/>
          <w:bCs/>
          <w:sz w:val="24"/>
        </w:rPr>
        <w:t xml:space="preserve">一套。</w:t>
      </w:r>
      <w:r/>
    </w:p>
    <w:p>
      <w:pPr>
        <w:spacing w:line="360" w:lineRule="auto"/>
        <w:rPr>
          <w:rStyle w:val="950"/>
          <w:rFonts w:ascii="宋体" w:hAnsi="宋体" w:cs="宋体"/>
          <w:sz w:val="24"/>
        </w:rPr>
      </w:pPr>
      <w:r>
        <w:rPr>
          <w:rStyle w:val="950"/>
          <w:rFonts w:hint="eastAsia" w:ascii="宋体" w:hAnsi="宋体" w:cs="宋体"/>
          <w:b/>
          <w:bCs/>
          <w:sz w:val="24"/>
        </w:rPr>
        <w:t xml:space="preserve">二、本项目不接受超过</w:t>
      </w:r>
      <w:r>
        <w:rPr>
          <w:rStyle w:val="950"/>
          <w:rFonts w:hint="eastAsia" w:ascii="宋体" w:hAnsi="宋体" w:cs="宋体"/>
          <w:b/>
          <w:bCs/>
          <w:sz w:val="24"/>
          <w:u w:val="single"/>
        </w:rPr>
        <w:t xml:space="preserve">75.00</w:t>
      </w:r>
      <w:r>
        <w:rPr>
          <w:rStyle w:val="950"/>
          <w:rFonts w:hint="eastAsia" w:ascii="宋体" w:hAnsi="宋体" w:cs="宋体"/>
          <w:b/>
          <w:bCs/>
          <w:sz w:val="24"/>
        </w:rPr>
        <w:t xml:space="preserve">万元人民币（采购项目预算金额）的投标报价。</w:t>
      </w:r>
      <w:r>
        <w:rPr>
          <w:rStyle w:val="950"/>
          <w:rFonts w:hint="eastAsia" w:ascii="宋体" w:hAnsi="宋体" w:cs="宋体"/>
          <w:sz w:val="24"/>
        </w:rPr>
        <w:t xml:space="preserve">报价包括全部货物和服务的报价，应包括所投设备及其备品、备件和专用工具费用、税费及包装、运至最终目的地的运输、保险、安装、检测验收、调试、技术支持与培训、售后服务与维保及相关劳务支出等工作所发生的全部费用以及投标人企业利润、税金和政策性文件规定及合同包含的所有风险、责任等费用。采购人不再支付报价以外的任何费用。</w:t>
      </w:r>
      <w:r/>
    </w:p>
    <w:p>
      <w:pPr>
        <w:pStyle w:val="974"/>
        <w:spacing w:before="0" w:line="360" w:lineRule="auto"/>
        <w:rPr>
          <w:rStyle w:val="950"/>
          <w:rFonts w:ascii="宋体" w:hAnsi="宋体" w:eastAsia="宋体" w:cs="宋体"/>
          <w:sz w:val="24"/>
          <w:szCs w:val="24"/>
        </w:rPr>
      </w:pPr>
      <w:r>
        <w:rPr>
          <w:rStyle w:val="950"/>
          <w:rFonts w:hint="eastAsia" w:ascii="宋体" w:hAnsi="宋体" w:eastAsia="宋体" w:cs="宋体"/>
          <w:sz w:val="24"/>
          <w:szCs w:val="24"/>
        </w:rPr>
        <w:t xml:space="preserve">注：评审委员会认为投标人的报价明显低于其他通过符合性审查的投标人的报价，有可能影响质量或者不能诚信履约的，要求其在评标现场合理的时间内提供书面说明，必要时提交相关证明材料，否则评审委员会有权按无效投标文件处理。</w:t>
      </w:r>
      <w:r/>
    </w:p>
    <w:p>
      <w:pPr>
        <w:ind w:lef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三、技术参数要求（</w:t>
      </w:r>
      <w:r>
        <w:rPr>
          <w:rFonts w:ascii="SimSun" w:hAnsi="SimSun" w:eastAsia="SimSun" w:cs="SimSun"/>
          <w:color w:val="000000"/>
          <w:sz w:val="24"/>
        </w:rPr>
        <w:t xml:space="preserve">以下加“</w:t>
      </w:r>
      <w:r>
        <w:rPr>
          <w:rFonts w:ascii="SimSun" w:hAnsi="SimSun" w:eastAsia="SimSun" w:cs="SimSun"/>
          <w:color w:val="000000"/>
          <w:sz w:val="21"/>
        </w:rPr>
        <w:t xml:space="preserve">▲</w:t>
      </w:r>
      <w:r>
        <w:rPr>
          <w:rFonts w:ascii="SimSun" w:hAnsi="SimSun" w:eastAsia="SimSun" w:cs="SimSun"/>
          <w:color w:val="000000"/>
          <w:sz w:val="24"/>
        </w:rPr>
        <w:t xml:space="preserve">”为次重要响应指标</w:t>
      </w:r>
      <w:r>
        <w:rPr>
          <w:rFonts w:ascii="SimSun" w:hAnsi="SimSun" w:eastAsia="SimSun" w:cs="SimSun"/>
          <w:b/>
          <w:color w:val="000000"/>
          <w:sz w:val="24"/>
        </w:rPr>
        <w:t xml:space="preserve">）：</w:t>
      </w:r>
      <w:r/>
    </w:p>
    <w:p>
      <w:pPr>
        <w:numPr>
          <w:ilvl w:val="0"/>
          <w:numId w:val="6"/>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适用范围：应用于住院药房单剂量药品的分包，系统与医院HIS系统无缝连接，信息化管理。</w:t>
      </w:r>
      <w:r/>
    </w:p>
    <w:p>
      <w:pPr>
        <w:numPr>
          <w:ilvl w:val="0"/>
          <w:numId w:val="6"/>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主要参数要求</w:t>
      </w:r>
      <w:r/>
    </w:p>
    <w:p>
      <w:pPr>
        <w:numPr>
          <w:ilvl w:val="1"/>
          <w:numId w:val="6"/>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单机可装储的药品品种数≥300（不含非机储药）。</w:t>
      </w:r>
      <w:r/>
    </w:p>
    <w:p>
      <w:pPr>
        <w:numPr>
          <w:ilvl w:val="1"/>
          <w:numId w:val="6"/>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非机储药品添加用的单个外摆药托盘的药槽格子数量≥66格。</w:t>
      </w:r>
      <w:r/>
    </w:p>
    <w:p>
      <w:pPr>
        <w:numPr>
          <w:ilvl w:val="1"/>
          <w:numId w:val="6"/>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▲外摆药托盘的每个药槽格具有LED指示灯（单个托盘≥66个LED指示灯），可进行引导式异形药、半片药的快速调剂。</w:t>
      </w:r>
      <w:r/>
    </w:p>
    <w:p>
      <w:pPr>
        <w:numPr>
          <w:ilvl w:val="1"/>
          <w:numId w:val="6"/>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最大摆药分包速度（含打印信息）≥50包/分钟，平均速度（含打印信息）≥30包/分钟。</w:t>
      </w:r>
      <w:r/>
    </w:p>
    <w:p>
      <w:pPr>
        <w:numPr>
          <w:ilvl w:val="1"/>
          <w:numId w:val="6"/>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全中文操作系统，支持一维条码和二维码的识别。</w:t>
      </w:r>
      <w:r/>
    </w:p>
    <w:p>
      <w:pPr>
        <w:numPr>
          <w:ilvl w:val="1"/>
          <w:numId w:val="6"/>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安全性能符合国家相关设备安全标准，生产厂家能提供ISO9001质量体系认证。（提供证书扫描件及认证官网查询截图）</w:t>
      </w:r>
      <w:r/>
    </w:p>
    <w:p>
      <w:pPr>
        <w:numPr>
          <w:ilvl w:val="1"/>
          <w:numId w:val="6"/>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▲为保证医院的用药数据安全可靠、不泄密，设备生产厂家应具备ISO27001信息安全管理体系认证。</w:t>
      </w:r>
      <w:r/>
    </w:p>
    <w:p>
      <w:pPr>
        <w:numPr>
          <w:ilvl w:val="1"/>
          <w:numId w:val="6"/>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设备生产厂家通过ISO环境管理体系认证，提供ISO14001证书。（提供证书扫描件及认证官网查询截图）</w:t>
      </w:r>
      <w:r/>
    </w:p>
    <w:p>
      <w:pPr>
        <w:numPr>
          <w:ilvl w:val="0"/>
          <w:numId w:val="6"/>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硬件技术要求</w:t>
      </w:r>
      <w:r/>
    </w:p>
    <w:p>
      <w:pPr>
        <w:numPr>
          <w:ilvl w:val="1"/>
          <w:numId w:val="6"/>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设备放置智能药盒的装置为前后抽拉式的抽屉，可以并排或靠墙角摆放，方便工作流程自由布置。</w:t>
      </w:r>
      <w:r/>
    </w:p>
    <w:p>
      <w:pPr>
        <w:numPr>
          <w:ilvl w:val="1"/>
          <w:numId w:val="6"/>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▲放置智能药盒的抽屉数量≤3个，每单个抽屉需具备双面两侧装载药盒的储药功能。</w:t>
      </w:r>
      <w:r/>
    </w:p>
    <w:p>
      <w:pPr>
        <w:numPr>
          <w:ilvl w:val="1"/>
          <w:numId w:val="6"/>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设备的每个放置智能药盒的抽屉均可放置≥114个智能药盒。（提供实物照片）。</w:t>
      </w:r>
      <w:r/>
    </w:p>
    <w:p>
      <w:pPr>
        <w:numPr>
          <w:ilvl w:val="1"/>
          <w:numId w:val="6"/>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▲为方便药师操作展示更多内容，设备需配置≥21英寸的外置液晶触摸业务操作屏。</w:t>
      </w:r>
      <w:r/>
    </w:p>
    <w:p>
      <w:pPr>
        <w:numPr>
          <w:ilvl w:val="1"/>
          <w:numId w:val="6"/>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药盒底座识别储药盒ID的技术为RFID无线识别方式。</w:t>
      </w:r>
      <w:r/>
    </w:p>
    <w:p>
      <w:pPr>
        <w:numPr>
          <w:ilvl w:val="1"/>
          <w:numId w:val="6"/>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根据药品的通常保存习惯，为更好的保证药效、减少可见光和紫外线对药品的影响，药盒颜色必须为浅棕色药盒。（提供产品实物照片证明）</w:t>
      </w:r>
      <w:r/>
    </w:p>
    <w:p>
      <w:pPr>
        <w:numPr>
          <w:ilvl w:val="1"/>
          <w:numId w:val="6"/>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标准智能药盒规格尺寸种类≥4种。</w:t>
      </w:r>
      <w:r/>
    </w:p>
    <w:p>
      <w:pPr>
        <w:numPr>
          <w:ilvl w:val="1"/>
          <w:numId w:val="6"/>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每个智能药盒具有防掉药泄漏自锁装置。</w:t>
      </w:r>
      <w:r/>
    </w:p>
    <w:p>
      <w:pPr>
        <w:numPr>
          <w:ilvl w:val="1"/>
          <w:numId w:val="6"/>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药样全景可见，先核后补”功能：为方便上药核对避免补药出错，面对药师方向的智能药盒前面（非盒盖上方）具有专门存储药品药样实物的透明视窗，即：拉开抽屉后，在不从抽屉上取下药盒的情况下，药师即可看到抽屉侧面所有药盒内药品的药样，实现“先核后补”。</w:t>
      </w:r>
      <w:r/>
    </w:p>
    <w:p>
      <w:pPr>
        <w:numPr>
          <w:ilvl w:val="1"/>
          <w:numId w:val="6"/>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每个智能药盒底座均独立内嵌LED指示灯。（提供实物照片证明）</w:t>
      </w:r>
      <w:r/>
    </w:p>
    <w:p>
      <w:pPr>
        <w:numPr>
          <w:ilvl w:val="1"/>
          <w:numId w:val="6"/>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灯、签、样、物四核对”功能：打开抽屉，药师根据智能药盒底座LED双色指示灯的提示，核对药盒标签信息，核对药样及药盒内药品实物，确认药品信息的一致性后，对该药盒内的药品进行补充或盘点等相关处理。</w:t>
      </w:r>
      <w:r/>
    </w:p>
    <w:p>
      <w:pPr>
        <w:numPr>
          <w:ilvl w:val="1"/>
          <w:numId w:val="6"/>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▲为方便操作，同时为节省设备储药空间，药盒插入或拉出底座采用水平推拉式（非上下扣紧式）。</w:t>
      </w:r>
      <w:r/>
    </w:p>
    <w:p>
      <w:pPr>
        <w:numPr>
          <w:ilvl w:val="1"/>
          <w:numId w:val="6"/>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落药方式：采用光电检测垂直落药方式。</w:t>
      </w:r>
      <w:r/>
    </w:p>
    <w:p>
      <w:pPr>
        <w:numPr>
          <w:ilvl w:val="1"/>
          <w:numId w:val="6"/>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片剂填充：药盒内的药品缺药时，设备有两种提示途径：操作触摸屏报警提示、语音导航提示。</w:t>
      </w:r>
      <w:r/>
    </w:p>
    <w:p>
      <w:pPr>
        <w:numPr>
          <w:ilvl w:val="1"/>
          <w:numId w:val="6"/>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为保障分包的完整性，设备进行包药前的原始状态的药品包装膜必须采用折叠状态的折叠膜。（提供带有测量尺寸的实物照片证明）</w:t>
      </w:r>
      <w:r/>
    </w:p>
    <w:p>
      <w:pPr>
        <w:numPr>
          <w:ilvl w:val="1"/>
          <w:numId w:val="6"/>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药品包装膜为一面白色，一面透明。</w:t>
      </w:r>
      <w:r/>
    </w:p>
    <w:p>
      <w:pPr>
        <w:numPr>
          <w:ilvl w:val="1"/>
          <w:numId w:val="6"/>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包装封刀具备两套温度控制系统及显示界面，保障药袋封包时对药品的保护。</w:t>
      </w:r>
      <w:r/>
    </w:p>
    <w:p>
      <w:pPr>
        <w:numPr>
          <w:ilvl w:val="1"/>
          <w:numId w:val="6"/>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设备的包装机部分对应的门体上嵌有透明视窗，方便药师及时查看包装状态、温度情况。</w:t>
      </w:r>
      <w:r/>
    </w:p>
    <w:p>
      <w:pPr>
        <w:numPr>
          <w:ilvl w:val="1"/>
          <w:numId w:val="6"/>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封装药袋出药口具备隐藏式防鼠闸门，该闸门在门体内侧，既美观又可有效防止异物进入。（提供实物照片证明）</w:t>
      </w:r>
      <w:r/>
    </w:p>
    <w:p>
      <w:pPr>
        <w:numPr>
          <w:ilvl w:val="1"/>
          <w:numId w:val="6"/>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药盒抽屉、外摆药托盘、包装单元等部件均为单元化设计，方便维修维护，实现即插即用。</w:t>
      </w:r>
      <w:r/>
    </w:p>
    <w:p>
      <w:pPr>
        <w:numPr>
          <w:ilvl w:val="1"/>
          <w:numId w:val="6"/>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外摆药托盘外摆药品时，可一次性多病区满格加药，减少外摆药盘弹出次数，减少工作量，提升工作效率。</w:t>
      </w:r>
      <w:r/>
    </w:p>
    <w:p>
      <w:pPr>
        <w:numPr>
          <w:ilvl w:val="1"/>
          <w:numId w:val="6"/>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单药多盒模式：用量大药品可装在多个药盒里，相同品规药品的不同药盒可以同时发药，以加快发药速度。</w:t>
      </w:r>
      <w:r/>
    </w:p>
    <w:p>
      <w:pPr>
        <w:numPr>
          <w:ilvl w:val="1"/>
          <w:numId w:val="6"/>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为方便药师操作，包药袋输出口必须设置在分包机正面（打印包装机的拉出方向）的下部位置。</w:t>
      </w:r>
      <w:r/>
    </w:p>
    <w:p>
      <w:pPr>
        <w:numPr>
          <w:ilvl w:val="1"/>
          <w:numId w:val="6"/>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具有药品溢出报警的漏药检测传感器，可在封装不良导致药品漏出时报警。</w:t>
      </w:r>
      <w:r/>
    </w:p>
    <w:p>
      <w:pPr>
        <w:numPr>
          <w:ilvl w:val="1"/>
          <w:numId w:val="6"/>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包药膜通过封装机构时的角度与水平面的角度为45度，即药袋沿45度方向移动。以更好地使药粒集中在药袋下侧，防止出现药粒被压碎的现象。（提供实物照片证明）</w:t>
      </w:r>
      <w:r/>
    </w:p>
    <w:p>
      <w:pPr>
        <w:numPr>
          <w:ilvl w:val="0"/>
          <w:numId w:val="6"/>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软件技术要求</w:t>
      </w:r>
      <w:r/>
    </w:p>
    <w:p>
      <w:pPr>
        <w:numPr>
          <w:ilvl w:val="1"/>
          <w:numId w:val="6"/>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开机自检功能：能够自动检测机器运行状态以及各部分是否工作正常，发现不能工作的部件及时提示报警。</w:t>
      </w:r>
      <w:r/>
    </w:p>
    <w:p>
      <w:pPr>
        <w:numPr>
          <w:ilvl w:val="1"/>
          <w:numId w:val="6"/>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自动提示故障位置的功能：当某个部件工作异常时会及时报警并提示故障位置。</w:t>
      </w:r>
      <w:r/>
    </w:p>
    <w:p>
      <w:pPr>
        <w:numPr>
          <w:ilvl w:val="1"/>
          <w:numId w:val="6"/>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完善的全中文报警提示系统：药品填充报警、包装膜补充报警、碳带更换报警、包药单元位置异常报警、包装膜异常报警、抽屉单元打开报警。</w:t>
      </w:r>
      <w:r/>
    </w:p>
    <w:p>
      <w:pPr>
        <w:numPr>
          <w:ilvl w:val="1"/>
          <w:numId w:val="6"/>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库存管理功能，以库存当前量显示，当小于系统预警值时，药盒运行指示灯变色提醒加药。</w:t>
      </w:r>
      <w:r/>
    </w:p>
    <w:p>
      <w:pPr>
        <w:numPr>
          <w:ilvl w:val="1"/>
          <w:numId w:val="6"/>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药品单包功能：对于某些特殊药品进行单独分包，避免药品混合出错。</w:t>
      </w:r>
      <w:r/>
    </w:p>
    <w:p>
      <w:pPr>
        <w:numPr>
          <w:ilvl w:val="1"/>
          <w:numId w:val="6"/>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药品统计功能：根据日期显示统计单，统计一个时间段内的发药量。</w:t>
      </w:r>
      <w:r/>
    </w:p>
    <w:p>
      <w:pPr>
        <w:numPr>
          <w:ilvl w:val="1"/>
          <w:numId w:val="6"/>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病区列表刷新功能：根据数据库现有的病区名字进行刷新病区列表。</w:t>
      </w:r>
      <w:r/>
    </w:p>
    <w:p>
      <w:pPr>
        <w:numPr>
          <w:ilvl w:val="1"/>
          <w:numId w:val="6"/>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自动分包功能：当一顿服用药品较多时，则一次包装不下，采用自动分包封装。</w:t>
      </w:r>
      <w:r/>
    </w:p>
    <w:p>
      <w:pPr>
        <w:numPr>
          <w:ilvl w:val="1"/>
          <w:numId w:val="6"/>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药袋打印系统：所见所得打印方式，使用图形打印技术,可在包装袋表面任意编辑打印内容。以简体中文在药袋上打印服药信息〔包括：病区、病房、病床、患者ID、条形码、药品规格、服药时间、服药数量等），可选择不同字体、图标及打印方向。打印内容在包药膜白色一面。（提供实物照片）</w:t>
      </w:r>
      <w:r/>
    </w:p>
    <w:p>
      <w:pPr>
        <w:numPr>
          <w:ilvl w:val="1"/>
          <w:numId w:val="6"/>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添加非机储药提示功能：采用打印方式输出非机储药添加药品位置清单。（提供图片证明）</w:t>
      </w:r>
      <w:r/>
    </w:p>
    <w:p>
      <w:pPr>
        <w:numPr>
          <w:ilvl w:val="0"/>
          <w:numId w:val="6"/>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数粒机</w:t>
      </w:r>
      <w:r/>
    </w:p>
    <w:p>
      <w:pPr>
        <w:numPr>
          <w:ilvl w:val="1"/>
          <w:numId w:val="6"/>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配置全自动数粒机1台。</w:t>
      </w:r>
      <w:r/>
    </w:p>
    <w:p>
      <w:pPr>
        <w:numPr>
          <w:ilvl w:val="1"/>
          <w:numId w:val="6"/>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可对标准药盒进行定数数粒和全部盘点</w:t>
      </w:r>
      <w:r/>
    </w:p>
    <w:p>
      <w:pPr>
        <w:numPr>
          <w:ilvl w:val="1"/>
          <w:numId w:val="6"/>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通过连接以太网或WIFI与分包机自动共享盘点数据，实现精确的库存管理功能</w:t>
      </w:r>
      <w:r/>
    </w:p>
    <w:p>
      <w:pPr>
        <w:numPr>
          <w:ilvl w:val="1"/>
          <w:numId w:val="6"/>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带触屏液晶操作屏，操作屏≥4.3寸。</w:t>
      </w:r>
      <w:r/>
    </w:p>
    <w:p>
      <w:pPr>
        <w:numPr>
          <w:ilvl w:val="1"/>
          <w:numId w:val="6"/>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可对分包机药盒进行自动识别，并显示药盒信息。</w:t>
      </w:r>
      <w:r/>
    </w:p>
    <w:p>
      <w:pPr>
        <w:numPr>
          <w:ilvl w:val="1"/>
          <w:numId w:val="6"/>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具备更改标准药盒的属性，自定义药盒的发药速度和模芯格数，确保发药效果更快速更准确。</w:t>
      </w:r>
      <w:r/>
    </w:p>
    <w:p>
      <w:pPr>
        <w:numPr>
          <w:ilvl w:val="1"/>
          <w:numId w:val="6"/>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使用先进的RFID技术，具有查询标准药盒的ID，确保药盒使用安全。还可以绑定或修改药盒ID，节省医院的药盒更换成本。</w:t>
      </w:r>
      <w:r/>
    </w:p>
    <w:p>
      <w:pPr>
        <w:numPr>
          <w:ilvl w:val="0"/>
          <w:numId w:val="6"/>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拆药机</w:t>
      </w:r>
      <w:r/>
    </w:p>
    <w:p>
      <w:pPr>
        <w:numPr>
          <w:ilvl w:val="1"/>
          <w:numId w:val="6"/>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配置拆药机1台</w:t>
      </w:r>
      <w:r/>
    </w:p>
    <w:p>
      <w:pPr>
        <w:numPr>
          <w:ilvl w:val="1"/>
          <w:numId w:val="6"/>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基本要求：能够完成多种片剂和胶囊PTP的拆药任务，避免操作者用手接触药片，剥药过程无污染，确保安全卫生；</w:t>
      </w:r>
      <w:r/>
    </w:p>
    <w:p>
      <w:pPr>
        <w:numPr>
          <w:ilvl w:val="1"/>
          <w:numId w:val="6"/>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挤压方式：用拆药辊挤压方式，药粒无损伤；</w:t>
      </w:r>
      <w:r/>
    </w:p>
    <w:p>
      <w:pPr>
        <w:numPr>
          <w:ilvl w:val="1"/>
          <w:numId w:val="6"/>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自由调节功能：可根据需要方便地调节尺寸，实现快速拆药；</w:t>
      </w:r>
      <w:r/>
    </w:p>
    <w:p>
      <w:pPr>
        <w:numPr>
          <w:ilvl w:val="1"/>
          <w:numId w:val="6"/>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拆药速度要求：20-30板/分钟</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四、项目实施要求：</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1、投标人所投产品应能够至少达到技术参数要求，同时明确所投产品的品牌、型号、规格及一些必须说明的技术参数，以及设备配置清单，并提供详细的技术参数及性能说明书。</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投标人所投货物必须为原厂原装、全新的、符合国家有关质量标准的产品。采购人对设备验收合格后，双方共同签署验收合格证明。验收中发现设备达不到验收标准或合同规定的性能指标，中标人必须更换，并且赔偿由此给采购人造成的损失。验收合格后由中标人按采购人的需求安装在采购人的指定位置。</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3、投标人必须承诺招标文件中提出的全部技术规格与要求，如果以其中某些条款不响应时，应在文件中逐条列出，未列出的视同响应。</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本项目要求投标人在充分理解系统功能的基础上选用符合招标文件要求的设备，投标文件中编写详细的深化方案，提供详细的设备清单。该清单中所列项目必须能够构成完整的可正常运行并满足本招标要求的系统。</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5、交付时间：合同生效日后，</w:t>
      </w:r>
      <w:r>
        <w:rPr>
          <w:rFonts w:ascii="SimSun" w:hAnsi="SimSun" w:eastAsia="SimSun" w:cs="SimSun"/>
          <w:b/>
          <w:color w:val="000000"/>
          <w:sz w:val="24"/>
          <w:u w:val="single"/>
        </w:rPr>
        <w:t xml:space="preserve">  30 </w:t>
      </w:r>
      <w:r>
        <w:rPr>
          <w:rFonts w:ascii="SimSun" w:hAnsi="SimSun" w:eastAsia="SimSun" w:cs="SimSun"/>
          <w:b/>
          <w:color w:val="000000"/>
          <w:sz w:val="24"/>
        </w:rPr>
        <w:t xml:space="preserve"> 日历日内完成交付并安装调试完毕并投入使用。</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6、投标人承担安装或维修的专用设备和人员的安全责任。投标人中标后应及时安装调试，安装调试期间采购人的使用人员协助配合；安装调试完毕，中标人需组织采购人使用人员进行使用及日常维护等的培训。</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7、验收时需提供全部的技术资料（产品中/英文说明书、中文操作手册和产品合格证书）。</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投标人应保证所提供设备涉及的知识产权和所提供的软件、技术资料是合法取得，并享有完整的知识产权，不会因为采购人的使用而被责令停止使用、追偿或要求赔偿损失，如出现此情况，一切经济和法律责任均由投标人承担。</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9、投标人安装调试时采取必要的安全措施，如有意外或事故发生，由中标人（合同卖方）负全部责任。</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10、投标人应指派专人全面负责项目的管理、项目协调、项目控制、质量监督等各项管理工作。</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五、验收标准</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1、验收依据：相关国家标准、行业标准。</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2、验收的时间、方式、程序要求：见招标文件第五章《拟签订的合同文本》。</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验收标准：以投标文件和投标人（合同乙方（中标人），下同）的澄清、说明或者更正为验收标准；投标人的投标文件和投标人的澄清、说明或者更正不明确的，以《招标文件》相关要求为验收标准；投标人的投标文件和投标人的澄清、说明或者更正和《招标文件》相关要求都不明确的，按照国家相关标准；以上都不明确的，以通常标准为准。</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验收程序：合同标的全部交付并安装完毕后，乙方可向甲方书面提出验收要求，甲方在接到书面要求后进行验收，如果验收因乙方原因发生迟延和在其他情况下发生额外费用，甲方有权就因迟延发生的损害和损失和任何额外费用请求赔偿。</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六、售后服务要求</w:t>
      </w:r>
      <w:r/>
    </w:p>
    <w:p>
      <w:pPr>
        <w:ind w:left="0" w:right="-153"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1、质保期：提供不少于</w:t>
      </w:r>
      <w:r>
        <w:rPr>
          <w:rFonts w:ascii="SimSun" w:hAnsi="SimSun" w:eastAsia="SimSun" w:cs="SimSun"/>
          <w:b/>
          <w:color w:val="000000"/>
          <w:sz w:val="24"/>
          <w:u w:val="single"/>
        </w:rPr>
        <w:t xml:space="preserve"> 1 </w:t>
      </w:r>
      <w:r>
        <w:rPr>
          <w:rFonts w:ascii="SimSun" w:hAnsi="SimSun" w:eastAsia="SimSun" w:cs="SimSun"/>
          <w:b/>
          <w:color w:val="000000"/>
          <w:sz w:val="24"/>
        </w:rPr>
        <w:t xml:space="preserve">年免费质保（自最终验收合格之日起，开始进入质保期）。</w:t>
      </w:r>
      <w:r/>
    </w:p>
    <w:p>
      <w:pPr>
        <w:ind w:left="0" w:right="-153"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2、在质保期内，对采购人所提出的维修要求作出实质性响应，并提供应急策略；严格按照招标文件要求及时供货，并向采购人提供及时的完善的售前、售中、售后服务。</w:t>
      </w:r>
      <w:r/>
    </w:p>
    <w:p>
      <w:pPr>
        <w:ind w:left="0" w:right="-153"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3、软件维保服务要求：</w:t>
      </w:r>
      <w:r/>
    </w:p>
    <w:p>
      <w:pPr>
        <w:ind w:left="0" w:right="-153"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系统bug引起的问题，中标人负责提供维护升级进行修复；系统使用过程中，系统异常导致的无法使用协助排查并处理；按照采购人经营调整需求，提供系统配置调整建议；紧急问题，及时提供应急方案，降低影响。</w:t>
      </w:r>
      <w:r/>
    </w:p>
    <w:p>
      <w:pPr>
        <w:ind w:left="0" w:right="-153"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4、硬件服务要求：</w:t>
      </w:r>
      <w:r/>
    </w:p>
    <w:p>
      <w:pPr>
        <w:ind w:left="0" w:right="-153"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中标人负责安装以及调试；维保期内，设备出现故障、异常现象或任何异常问题，中标人负责排查以及更换。中标人负责为采购人提供全面的技术支持，帮助采购人及时解决使用中遇到的技术问题。中标人维护人员在采购人授权后，可通过远程连接进入采购人的系统帮助采购人解决问题。中标人可远程连接采购人的系统来进行运维操作，确保系统采购人系统正常运行。 </w:t>
      </w:r>
      <w:r/>
    </w:p>
    <w:p>
      <w:pPr>
        <w:ind w:left="0" w:right="0" w:firstLine="0"/>
        <w:spacing w:before="24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5、培训要求：</w:t>
      </w:r>
      <w:r>
        <w:rPr>
          <w:rFonts w:ascii="SimSun" w:hAnsi="SimSun" w:eastAsia="SimSun" w:cs="SimSun"/>
          <w:color w:val="000000"/>
          <w:sz w:val="24"/>
        </w:rPr>
        <w:t xml:space="preserve">对系统操作人员和系统管理人员进行培训，培训内容主要包括应急指挥信息系统、融合通信系统以及信息化硬件产品等的工作原理、系统组成、系统操作，并结合需要，对系统管理人员进行系统传输特性、验收、测试方法、验收技术标准和其他相关技术要求的培训。</w:t>
      </w:r>
      <w:r>
        <w:rPr>
          <w:sz w:val="24"/>
        </w:rPr>
      </w:r>
      <w:r/>
    </w:p>
    <w:p>
      <w:pPr>
        <w:spacing w:line="360" w:lineRule="auto"/>
        <w:rPr>
          <w:rStyle w:val="950"/>
          <w:rFonts w:ascii="宋体" w:hAnsi="宋体" w:cs="宋体"/>
          <w:b/>
          <w:bCs/>
          <w:sz w:val="24"/>
        </w:rPr>
      </w:pPr>
      <w:r>
        <w:rPr>
          <w:rFonts w:hint="eastAsia" w:ascii="宋体" w:hAnsi="宋体" w:cs="宋体"/>
          <w:b/>
          <w:sz w:val="24"/>
        </w:rPr>
        <w:t xml:space="preserve">七、其他要求见招标文件第五章《拟签订的合同文本》。</w:t>
      </w:r>
      <w:r/>
    </w:p>
    <w:p>
      <w:pPr>
        <w:jc w:val="center"/>
        <w:spacing w:line="239" w:lineRule="atLeast"/>
        <w:rPr>
          <w:rFonts w:ascii="宋体" w:hAnsi="宋体" w:cs="宋体"/>
          <w:b/>
          <w:sz w:val="24"/>
        </w:rPr>
        <w:pBdr>
          <w:top w:val="none" w:color="000000" w:sz="0" w:space="0"/>
          <w:left w:val="none" w:color="000000" w:sz="0" w:space="0"/>
          <w:bottom w:val="none" w:color="000000" w:sz="0" w:space="0"/>
          <w:right w:val="none" w:color="000000" w:sz="0" w:space="0"/>
        </w:pBdr>
        <w:sectPr>
          <w:headerReference w:type="default" r:id="rId13"/>
          <w:footerReference w:type="default" r:id="rId17"/>
          <w:footnotePr/>
          <w:endnotePr/>
          <w:type w:val="nextPage"/>
          <w:pgSz w:w="11906" w:h="16838" w:orient="portrait"/>
          <w:pgMar w:top="1440" w:right="1803" w:bottom="1440" w:left="1803" w:header="851" w:footer="992" w:gutter="0"/>
          <w:pgNumType w:start="1"/>
          <w:cols w:num="1" w:sep="0" w:space="1701" w:equalWidth="1"/>
          <w:docGrid w:linePitch="360"/>
        </w:sectPr>
      </w:pPr>
      <w:r>
        <w:rPr>
          <w:rFonts w:ascii="宋体" w:hAnsi="宋体" w:cs="宋体"/>
          <w:b/>
          <w:sz w:val="24"/>
        </w:rPr>
      </w:r>
      <w:r/>
    </w:p>
    <w:p>
      <w:pPr>
        <w:jc w:val="center"/>
        <w:spacing w:line="239" w:lineRule="atLeast"/>
        <w:rPr>
          <w:rFonts w:ascii="宋体" w:hAnsi="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b/>
          <w:sz w:val="28"/>
          <w:szCs w:val="28"/>
        </w:rPr>
        <w:t xml:space="preserve">第七章投标文件相关格式</w:t>
      </w:r>
      <w:r/>
    </w:p>
    <w:p>
      <w:pPr>
        <w:ind w:firstLine="640"/>
        <w:jc w:val="center"/>
        <w:spacing w:line="239" w:lineRule="atLeast"/>
        <w:rPr>
          <w:rFonts w:ascii="宋体" w:hAnsi="宋体" w:cs="宋体"/>
          <w:sz w:val="28"/>
          <w:szCs w:val="28"/>
        </w:rPr>
        <w:pBdr>
          <w:top w:val="none" w:color="000000" w:sz="0" w:space="0"/>
          <w:left w:val="none" w:color="000000" w:sz="0" w:space="0"/>
          <w:bottom w:val="none" w:color="000000" w:sz="0" w:space="0"/>
          <w:right w:val="none" w:color="000000" w:sz="0" w:space="0"/>
        </w:pBdr>
      </w:pPr>
      <w:r>
        <w:rPr>
          <w:rFonts w:ascii="宋体" w:hAnsi="宋体" w:cs="宋体"/>
          <w:sz w:val="28"/>
          <w:szCs w:val="28"/>
        </w:rPr>
      </w:r>
      <w:r/>
    </w:p>
    <w:p>
      <w:pPr>
        <w:ind w:firstLine="640"/>
        <w:jc w:val="center"/>
        <w:spacing w:line="360" w:lineRule="auto"/>
        <w:rPr>
          <w:rFonts w:ascii="宋体" w:hAnsi="宋体" w:cs="宋体"/>
          <w:b/>
          <w:bCs/>
          <w:sz w:val="32"/>
          <w:szCs w:val="32"/>
        </w:rPr>
        <w:pBdr>
          <w:top w:val="none" w:color="000000" w:sz="0" w:space="0"/>
          <w:left w:val="none" w:color="000000" w:sz="0" w:space="0"/>
          <w:bottom w:val="none" w:color="000000" w:sz="0" w:space="0"/>
          <w:right w:val="none" w:color="000000" w:sz="0" w:space="0"/>
        </w:pBdr>
      </w:pPr>
      <w:r>
        <w:rPr>
          <w:rFonts w:hint="eastAsia" w:ascii="宋体" w:hAnsi="宋体" w:cs="宋体"/>
          <w:b/>
          <w:bCs/>
          <w:sz w:val="28"/>
          <w:szCs w:val="28"/>
        </w:rPr>
        <w:t xml:space="preserve">一、投标函格式</w:t>
      </w:r>
      <w:r/>
    </w:p>
    <w:p>
      <w:pPr>
        <w:spacing w:line="239" w:lineRule="atLeas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致：</w:t>
      </w:r>
      <w:r>
        <w:rPr>
          <w:rFonts w:hint="eastAsia" w:ascii="宋体" w:hAnsi="宋体" w:cs="宋体"/>
          <w:sz w:val="24"/>
          <w:u w:val="single"/>
        </w:rPr>
        <w:t xml:space="preserve">徐州市第一人民医院</w:t>
      </w:r>
      <w:r/>
    </w:p>
    <w:p>
      <w:pPr>
        <w:ind w:firstLine="600"/>
        <w:spacing w:line="239" w:lineRule="atLeast"/>
        <w:rPr>
          <w:rFonts w:ascii="宋体" w:hAnsi="宋体" w:cs="宋体"/>
          <w:sz w:val="24"/>
        </w:rPr>
        <w:pBdr>
          <w:top w:val="none" w:color="000000" w:sz="0" w:space="0"/>
          <w:left w:val="none" w:color="000000" w:sz="0" w:space="0"/>
          <w:bottom w:val="none" w:color="000000" w:sz="0" w:space="0"/>
          <w:right w:val="none" w:color="000000" w:sz="0" w:space="0"/>
        </w:pBdr>
      </w:pPr>
      <w:r>
        <w:rPr>
          <w:rFonts w:ascii="宋体" w:hAnsi="宋体" w:cs="宋体"/>
          <w:sz w:val="24"/>
        </w:rPr>
      </w:r>
      <w:r/>
    </w:p>
    <w:p>
      <w:pPr>
        <w:ind w:firstLine="600"/>
        <w:spacing w:line="360" w:lineRule="auto"/>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根据</w:t>
      </w:r>
      <w:r>
        <w:rPr>
          <w:rFonts w:hint="eastAsia" w:ascii="宋体" w:hAnsi="宋体" w:cs="宋体"/>
          <w:sz w:val="24"/>
          <w:u w:val="single"/>
        </w:rPr>
        <w:t xml:space="preserve">          </w:t>
      </w:r>
      <w:r>
        <w:rPr>
          <w:rFonts w:hint="eastAsia" w:ascii="宋体" w:hAnsi="宋体" w:cs="宋体"/>
          <w:sz w:val="24"/>
        </w:rPr>
        <w:t xml:space="preserve">项目[项目编号：</w:t>
      </w:r>
      <w:r>
        <w:rPr>
          <w:rFonts w:hint="eastAsia" w:ascii="宋体" w:hAnsi="宋体" w:cs="宋体"/>
          <w:sz w:val="24"/>
          <w:lang w:eastAsia="zh-CN"/>
        </w:rPr>
        <w:t xml:space="preserve">JSZC-320300-JSZR-G2025-0124</w:t>
      </w:r>
      <w:r>
        <w:rPr>
          <w:rFonts w:hint="eastAsia" w:ascii="宋体" w:hAnsi="宋体" w:cs="宋体"/>
          <w:sz w:val="24"/>
        </w:rPr>
        <w:t xml:space="preserve">]招标文件，</w:t>
      </w:r>
      <w:r>
        <w:rPr>
          <w:rFonts w:hint="eastAsia" w:ascii="宋体" w:hAnsi="宋体" w:cs="宋体"/>
          <w:sz w:val="24"/>
          <w:u w:val="single"/>
        </w:rPr>
        <w:t xml:space="preserve">     （</w:t>
      </w:r>
      <w:r>
        <w:rPr>
          <w:rFonts w:hint="eastAsia" w:ascii="宋体" w:hAnsi="宋体" w:cs="宋体"/>
          <w:sz w:val="24"/>
        </w:rPr>
        <w:t xml:space="preserve">姓名）代表我方</w:t>
      </w:r>
      <w:r>
        <w:rPr>
          <w:rFonts w:hint="eastAsia" w:ascii="宋体" w:hAnsi="宋体" w:cs="宋体"/>
          <w:sz w:val="24"/>
          <w:u w:val="single"/>
        </w:rPr>
        <w:t xml:space="preserve">            </w:t>
      </w:r>
      <w:r>
        <w:rPr>
          <w:rFonts w:hint="eastAsia" w:ascii="宋体" w:hAnsi="宋体" w:cs="宋体"/>
          <w:sz w:val="24"/>
        </w:rPr>
        <w:t xml:space="preserve">（投标人的名称）全权处理本次投标的有关事宜。</w:t>
      </w:r>
      <w:r/>
    </w:p>
    <w:p>
      <w:pPr>
        <w:ind w:firstLine="600"/>
        <w:spacing w:line="360" w:lineRule="auto"/>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据此函，投标人承诺并同意如下： </w:t>
      </w:r>
      <w:r/>
    </w:p>
    <w:p>
      <w:pPr>
        <w:ind w:firstLine="600"/>
        <w:spacing w:line="360" w:lineRule="auto"/>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1. 投标人唯一投标报价见《开标一览表》。</w:t>
      </w:r>
      <w:r/>
    </w:p>
    <w:p>
      <w:pPr>
        <w:ind w:firstLine="600"/>
        <w:spacing w:line="360" w:lineRule="auto"/>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2. 投标人将按招标文件的规定履行合同责任和义务。</w:t>
      </w:r>
      <w:r/>
    </w:p>
    <w:p>
      <w:pPr>
        <w:ind w:firstLine="600"/>
        <w:spacing w:line="360" w:lineRule="auto"/>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3. 投标人已详细审查全部招标文件，包括第[插入编号] [补遗书][如果有的话]。投标人完全理解并同意放弃对这方面有不明及误解的权力。</w:t>
      </w:r>
      <w:r/>
    </w:p>
    <w:p>
      <w:pPr>
        <w:ind w:firstLine="600"/>
        <w:spacing w:line="360" w:lineRule="auto"/>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4. 投标有效期为开标之日后90天。</w:t>
      </w:r>
      <w:r/>
    </w:p>
    <w:p>
      <w:pPr>
        <w:ind w:firstLine="600"/>
        <w:spacing w:line="360" w:lineRule="auto"/>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5. 投标人同意提供按照贵方可能要求的与其投标有关的一切数据或资料，完全理解贵方不一定接受最低价的投标或收到的任何投标。</w:t>
      </w:r>
      <w:r/>
    </w:p>
    <w:p>
      <w:pPr>
        <w:ind w:firstLine="600"/>
        <w:spacing w:line="360" w:lineRule="auto"/>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6. 投标人同意在授予合同后，按照有关规定支付公证费（如有）。</w:t>
      </w:r>
      <w:r/>
    </w:p>
    <w:p>
      <w:pPr>
        <w:ind w:right="29" w:firstLine="600"/>
        <w:spacing w:line="360" w:lineRule="auto"/>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7. 采购人或采购代理机构有权将我单位本项目的《开标一览表》和《分项价格表》予以公示，公示的方式由江苏中瑞建设项目管理有限公司确定。</w:t>
      </w:r>
      <w:r/>
    </w:p>
    <w:p>
      <w:pPr>
        <w:ind w:right="29" w:firstLine="600"/>
        <w:spacing w:line="360" w:lineRule="auto"/>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8.采购人有权对投标人投标文件的真实性进行核实，如投标人不能在采购人规定的时间内向采购人提供有效的证明文件，将被采购人视为放弃中标资格。</w:t>
      </w:r>
      <w:r/>
    </w:p>
    <w:p>
      <w:pPr>
        <w:ind w:firstLine="600"/>
        <w:spacing w:line="360" w:lineRule="auto"/>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9.与本投标有关的一切正式往来信函请寄：</w:t>
      </w:r>
      <w:r/>
    </w:p>
    <w:p>
      <w:pPr>
        <w:ind w:firstLine="1200"/>
        <w:spacing w:line="360" w:lineRule="auto"/>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地址： </w:t>
      </w:r>
      <w:r/>
    </w:p>
    <w:p>
      <w:pPr>
        <w:ind w:firstLine="1200"/>
        <w:spacing w:line="360" w:lineRule="auto"/>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电话： </w:t>
      </w:r>
      <w:r/>
    </w:p>
    <w:p>
      <w:pPr>
        <w:ind w:firstLine="1200"/>
        <w:spacing w:line="360" w:lineRule="auto"/>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传真： </w:t>
      </w:r>
      <w:r/>
    </w:p>
    <w:p>
      <w:pPr>
        <w:ind w:firstLine="2700"/>
        <w:spacing w:line="239" w:lineRule="atLeas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投标人：</w:t>
      </w:r>
      <w:r>
        <w:rPr>
          <w:rFonts w:hint="eastAsia" w:ascii="宋体" w:hAnsi="宋体" w:cs="宋体"/>
          <w:sz w:val="24"/>
          <w:u w:val="single"/>
        </w:rPr>
        <w:t xml:space="preserve">           </w:t>
      </w:r>
      <w:r>
        <w:rPr>
          <w:rFonts w:hint="eastAsia" w:ascii="宋体" w:hAnsi="宋体" w:cs="宋体"/>
          <w:sz w:val="24"/>
        </w:rPr>
        <w:t xml:space="preserve">（电子签章）</w:t>
      </w:r>
      <w:r/>
    </w:p>
    <w:p>
      <w:pPr>
        <w:ind w:firstLine="2700"/>
        <w:spacing w:line="239" w:lineRule="atLeast"/>
        <w:rPr>
          <w:rFonts w:ascii="宋体" w:hAnsi="宋体" w:cs="宋体"/>
          <w:sz w:val="24"/>
        </w:rPr>
        <w:pBdr>
          <w:top w:val="none" w:color="000000" w:sz="0" w:space="0"/>
          <w:left w:val="none" w:color="000000" w:sz="0" w:space="0"/>
          <w:bottom w:val="none" w:color="000000" w:sz="0" w:space="0"/>
          <w:right w:val="none" w:color="000000" w:sz="0" w:space="0"/>
        </w:pBdr>
      </w:pPr>
      <w:r>
        <w:rPr>
          <w:rFonts w:ascii="宋体" w:hAnsi="宋体" w:cs="宋体"/>
          <w:sz w:val="24"/>
        </w:rPr>
      </w:r>
      <w:r/>
    </w:p>
    <w:p>
      <w:pPr>
        <w:ind w:firstLine="2700"/>
        <w:spacing w:line="239" w:lineRule="atLeast"/>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日期：  年 月 日</w:t>
      </w:r>
      <w:r>
        <w:rPr>
          <w:rFonts w:hint="eastAsia" w:ascii="宋体" w:hAnsi="宋体" w:cs="宋体"/>
        </w:rPr>
        <w:br w:type="page" w:clear="all"/>
      </w:r>
      <w:r/>
    </w:p>
    <w:p>
      <w:pPr>
        <w:ind w:firstLine="640"/>
        <w:jc w:val="center"/>
        <w:spacing w:line="479" w:lineRule="atLeast"/>
        <w:rPr>
          <w:rFonts w:ascii="宋体" w:hAnsi="宋体" w:cs="宋体"/>
          <w:b/>
          <w:bCs/>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b/>
          <w:bCs/>
          <w:sz w:val="28"/>
          <w:szCs w:val="28"/>
        </w:rPr>
        <w:t xml:space="preserve">二、开标一览表格式</w:t>
      </w:r>
      <w:r/>
    </w:p>
    <w:p>
      <w:pPr>
        <w:spacing w:line="479" w:lineRule="atLeast"/>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30"/>
        </w:rPr>
        <w:t xml:space="preserve"> </w:t>
      </w:r>
      <w:r/>
    </w:p>
    <w:p>
      <w:pPr>
        <w:spacing w:line="519" w:lineRule="atLeast"/>
        <w:rPr>
          <w:rFonts w:hint="eastAsia" w:ascii="宋体" w:hAnsi="宋体" w:eastAsia="宋体" w:cs="宋体"/>
          <w:sz w:val="24"/>
          <w:lang w:eastAsia="zh-CN"/>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项目编号：</w:t>
      </w:r>
      <w:r>
        <w:rPr>
          <w:rFonts w:hint="eastAsia" w:ascii="宋体" w:hAnsi="宋体" w:cs="宋体"/>
          <w:sz w:val="24"/>
          <w:lang w:eastAsia="zh-CN"/>
        </w:rPr>
        <w:t xml:space="preserve">JSZC-320300-JSZR-G2025-0124</w:t>
      </w:r>
      <w:r/>
    </w:p>
    <w:p>
      <w:pPr>
        <w:rPr>
          <w:rFonts w:ascii="宋体" w:hAnsi="宋体" w:cs="宋体"/>
          <w:sz w:val="24"/>
        </w:rPr>
      </w:pPr>
      <w:r>
        <w:rPr>
          <w:rFonts w:hint="eastAsia" w:ascii="宋体" w:hAnsi="宋体" w:cs="宋体"/>
          <w:sz w:val="24"/>
        </w:rPr>
        <w:t xml:space="preserve">项目名称：徐州市第一人民医院口服药单剂量分包机 </w:t>
      </w:r>
      <w:r/>
    </w:p>
    <w:p>
      <w:pPr>
        <w:ind w:firstLine="4080"/>
        <w:rPr>
          <w:rFonts w:ascii="宋体" w:hAnsi="宋体" w:cs="宋体"/>
          <w:sz w:val="24"/>
        </w:rPr>
      </w:pPr>
      <w:r>
        <w:rPr>
          <w:rFonts w:hint="eastAsia" w:ascii="宋体" w:hAnsi="宋体" w:cs="宋体"/>
          <w:sz w:val="24"/>
        </w:rPr>
        <w:t xml:space="preserve">货币单位：人民币</w:t>
      </w:r>
      <w:r/>
    </w:p>
    <w:p>
      <w:pPr>
        <w:rPr>
          <w:rFonts w:ascii="宋体" w:hAnsi="宋体" w:cs="宋体"/>
          <w:sz w:val="24"/>
        </w:rPr>
      </w:pPr>
      <w:r>
        <w:rPr>
          <w:rFonts w:ascii="宋体" w:hAnsi="宋体" w:cs="宋体"/>
          <w:sz w:val="24"/>
        </w:rPr>
      </w:r>
      <w:r/>
    </w:p>
    <w:p>
      <w:pPr>
        <w:rPr>
          <w:rFonts w:ascii="宋体" w:hAnsi="宋体" w:cs="宋体"/>
          <w:b/>
          <w:bCs/>
          <w:sz w:val="24"/>
        </w:rPr>
      </w:pPr>
      <w:r>
        <w:rPr>
          <w:rFonts w:ascii="宋体" w:hAnsi="宋体" w:cs="宋体"/>
          <w:b/>
          <w:bCs/>
          <w:sz w:val="24"/>
        </w:rPr>
      </w:r>
      <w:r/>
    </w:p>
    <w:p>
      <w:pPr>
        <w:rPr>
          <w:rFonts w:ascii="宋体" w:hAnsi="宋体" w:cs="宋体"/>
          <w:b/>
          <w:bCs/>
          <w:sz w:val="24"/>
        </w:rPr>
      </w:pPr>
      <w:r>
        <w:rPr>
          <w:rFonts w:ascii="宋体" w:hAnsi="宋体" w:cs="宋体"/>
          <w:b/>
          <w:bCs/>
          <w:sz w:val="24"/>
        </w:rPr>
      </w:r>
      <w:r/>
    </w:p>
    <w:p>
      <w:pPr>
        <w:rPr>
          <w:rFonts w:ascii="宋体" w:hAnsi="宋体" w:cs="宋体"/>
          <w:b/>
          <w:bCs/>
          <w:sz w:val="24"/>
        </w:rPr>
      </w:pPr>
      <w:r>
        <w:rPr>
          <w:rFonts w:ascii="宋体" w:hAnsi="宋体" w:cs="宋体"/>
          <w:b/>
          <w:bCs/>
          <w:sz w:val="24"/>
        </w:rPr>
      </w:r>
      <w:r/>
    </w:p>
    <w:p>
      <w:pPr>
        <w:rPr>
          <w:rFonts w:ascii="宋体" w:hAnsi="宋体" w:cs="宋体"/>
          <w:b/>
          <w:bCs/>
          <w:sz w:val="36"/>
        </w:rPr>
      </w:pPr>
      <w:r>
        <w:rPr>
          <w:rFonts w:hint="eastAsia" w:ascii="宋体" w:hAnsi="宋体" w:cs="宋体"/>
          <w:b/>
          <w:bCs/>
          <w:sz w:val="24"/>
        </w:rPr>
        <w:t xml:space="preserve">（政府采购客户端工具输入报价自动生成，加盖电子签章）</w:t>
      </w:r>
      <w:r/>
    </w:p>
    <w:p>
      <w:pPr>
        <w:spacing w:line="479" w:lineRule="atLeast"/>
        <w:rPr>
          <w:rFonts w:ascii="宋体" w:hAnsi="宋体" w:cs="宋体"/>
        </w:rPr>
        <w:pBdr>
          <w:top w:val="none" w:color="000000" w:sz="0" w:space="0"/>
          <w:left w:val="none" w:color="000000" w:sz="0" w:space="0"/>
          <w:bottom w:val="none" w:color="000000" w:sz="0" w:space="0"/>
          <w:right w:val="none" w:color="000000" w:sz="0" w:space="0"/>
        </w:pBdr>
      </w:pPr>
      <w:r>
        <w:rPr>
          <w:rFonts w:ascii="宋体" w:hAnsi="宋体" w:cs="宋体"/>
        </w:rPr>
      </w:r>
      <w:r/>
    </w:p>
    <w:p>
      <w:pPr>
        <w:spacing w:line="479" w:lineRule="atLeast"/>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30"/>
        </w:rPr>
        <w:t xml:space="preserve"> </w:t>
      </w:r>
      <w:r/>
    </w:p>
    <w:p>
      <w:pPr>
        <w:spacing w:line="479" w:lineRule="atLeast"/>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30"/>
        </w:rPr>
        <w:t xml:space="preserve"> </w:t>
      </w:r>
      <w:r/>
    </w:p>
    <w:p>
      <w:pPr>
        <w:spacing w:line="479" w:lineRule="atLeast"/>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30"/>
        </w:rPr>
        <w:t xml:space="preserve"> </w:t>
      </w:r>
      <w:r/>
    </w:p>
    <w:p>
      <w:pPr>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rPr>
        <w:br w:type="page" w:clear="all"/>
      </w:r>
      <w:r/>
    </w:p>
    <w:p>
      <w:pPr>
        <w:ind w:firstLine="600"/>
        <w:jc w:val="center"/>
        <w:spacing w:line="479" w:lineRule="atLeast"/>
        <w:rPr>
          <w:rFonts w:ascii="宋体" w:hAnsi="宋体" w:cs="宋体"/>
          <w:b/>
          <w:bCs/>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b/>
          <w:bCs/>
          <w:sz w:val="28"/>
          <w:szCs w:val="28"/>
        </w:rPr>
        <w:t xml:space="preserve">三、分项价格表格式</w:t>
      </w:r>
      <w:r/>
    </w:p>
    <w:p>
      <w:pPr>
        <w:ind w:firstLine="600"/>
        <w:spacing w:line="479" w:lineRule="atLeast"/>
        <w:rPr>
          <w:rFonts w:ascii="宋体" w:hAnsi="宋体" w:cs="宋体"/>
          <w:sz w:val="30"/>
        </w:rPr>
        <w:pBdr>
          <w:top w:val="none" w:color="000000" w:sz="0" w:space="0"/>
          <w:left w:val="none" w:color="000000" w:sz="0" w:space="0"/>
          <w:bottom w:val="none" w:color="000000" w:sz="0" w:space="0"/>
          <w:right w:val="none" w:color="000000" w:sz="0" w:space="0"/>
        </w:pBdr>
      </w:pPr>
      <w:r>
        <w:rPr>
          <w:rFonts w:ascii="宋体" w:hAnsi="宋体" w:cs="宋体"/>
          <w:sz w:val="30"/>
        </w:rPr>
      </w:r>
      <w:r/>
    </w:p>
    <w:p>
      <w:pPr>
        <w:spacing w:line="360" w:lineRule="auto"/>
        <w:rPr>
          <w:rFonts w:hint="eastAsia" w:ascii="宋体" w:hAnsi="宋体" w:eastAsia="宋体" w:cs="宋体"/>
          <w:sz w:val="24"/>
          <w:lang w:eastAsia="zh-CN"/>
        </w:rPr>
      </w:pPr>
      <w:r>
        <w:rPr>
          <w:rFonts w:hint="eastAsia" w:ascii="宋体" w:hAnsi="宋体" w:cs="宋体"/>
          <w:sz w:val="24"/>
        </w:rPr>
        <w:t xml:space="preserve">项目编号：</w:t>
      </w:r>
      <w:r>
        <w:rPr>
          <w:rFonts w:hint="eastAsia" w:ascii="宋体" w:hAnsi="宋体" w:cs="宋体"/>
          <w:sz w:val="24"/>
          <w:lang w:eastAsia="zh-CN"/>
        </w:rPr>
        <w:t xml:space="preserve">JSZC-320300-JSZR-G2025-0124</w:t>
      </w:r>
      <w:r/>
    </w:p>
    <w:p>
      <w:pPr>
        <w:rPr>
          <w:rFonts w:ascii="宋体" w:hAnsi="宋体" w:cs="宋体"/>
          <w:sz w:val="24"/>
        </w:rPr>
      </w:pPr>
      <w:r>
        <w:rPr>
          <w:rFonts w:hint="eastAsia" w:ascii="宋体" w:hAnsi="宋体" w:cs="宋体"/>
          <w:sz w:val="24"/>
        </w:rPr>
        <w:t xml:space="preserve">项目名称：徐州市第一人民医院口服药单剂量分包机</w:t>
      </w:r>
      <w:r/>
    </w:p>
    <w:p>
      <w:pPr>
        <w:jc w:val="right"/>
        <w:rPr>
          <w:rFonts w:ascii="宋体" w:hAnsi="宋体" w:cs="宋体"/>
          <w:sz w:val="24"/>
        </w:rPr>
      </w:pPr>
      <w:r>
        <w:rPr>
          <w:rFonts w:hint="eastAsia" w:ascii="宋体" w:hAnsi="宋体" w:cs="宋体"/>
          <w:sz w:val="24"/>
        </w:rPr>
        <w:t xml:space="preserve">          　 货币单位：人民币元</w:t>
      </w:r>
      <w:r/>
    </w:p>
    <w:tbl>
      <w:tblPr>
        <w:tblStyle w:val="802"/>
        <w:tblW w:w="10547" w:type="dxa"/>
        <w:jc w:val="center"/>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left w:w="15" w:type="dxa"/>
          <w:top w:w="15" w:type="dxa"/>
          <w:right w:w="15" w:type="dxa"/>
          <w:bottom w:w="0" w:type="dxa"/>
        </w:tblCellMar>
        <w:tblLook w:val="04A0" w:firstRow="1" w:lastRow="0" w:firstColumn="1" w:lastColumn="0" w:noHBand="0" w:noVBand="1"/>
      </w:tblPr>
      <w:tblGrid>
        <w:gridCol w:w="505"/>
        <w:gridCol w:w="975"/>
        <w:gridCol w:w="1005"/>
        <w:gridCol w:w="1041"/>
        <w:gridCol w:w="2977"/>
        <w:gridCol w:w="669"/>
        <w:gridCol w:w="681"/>
        <w:gridCol w:w="554"/>
        <w:gridCol w:w="531"/>
        <w:gridCol w:w="831"/>
        <w:gridCol w:w="778"/>
      </w:tblGrid>
      <w:tr>
        <w:trPr>
          <w:jc w:val="center"/>
          <w:trHeight w:val="583"/>
        </w:trPr>
        <w:tc>
          <w:tcPr>
            <w:shd w:val="clear" w:color="auto" w:fill="ffffff" w:themeFill="background1"/>
            <w:tcMar>
              <w:left w:w="15" w:type="dxa"/>
              <w:top w:w="15" w:type="dxa"/>
              <w:right w:w="15" w:type="dxa"/>
              <w:bottom w:w="0" w:type="dxa"/>
            </w:tcMar>
            <w:tcW w:w="505" w:type="dxa"/>
            <w:vAlign w:val="center"/>
            <w:textDirection w:val="lrTb"/>
            <w:noWrap w:val="false"/>
          </w:tcPr>
          <w:p>
            <w:pPr>
              <w:jc w:val="center"/>
              <w:rPr>
                <w:rFonts w:ascii="宋体" w:hAnsi="宋体" w:cs="宋体"/>
                <w:sz w:val="24"/>
              </w:rPr>
            </w:pPr>
            <w:r>
              <w:rPr>
                <w:rFonts w:hint="eastAsia" w:ascii="宋体" w:hAnsi="宋体" w:cs="宋体"/>
                <w:sz w:val="24"/>
              </w:rPr>
              <w:t xml:space="preserve">序号</w:t>
            </w:r>
            <w:r/>
          </w:p>
        </w:tc>
        <w:tc>
          <w:tcPr>
            <w:shd w:val="clear" w:color="auto" w:fill="ffffff" w:themeFill="background1"/>
            <w:tcMar>
              <w:left w:w="15" w:type="dxa"/>
              <w:top w:w="15" w:type="dxa"/>
              <w:right w:w="15" w:type="dxa"/>
              <w:bottom w:w="0" w:type="dxa"/>
            </w:tcMar>
            <w:tcW w:w="975" w:type="dxa"/>
            <w:vAlign w:val="center"/>
            <w:textDirection w:val="lrTb"/>
            <w:noWrap w:val="false"/>
          </w:tcPr>
          <w:p>
            <w:pPr>
              <w:jc w:val="center"/>
              <w:rPr>
                <w:rFonts w:ascii="宋体" w:hAnsi="宋体" w:cs="宋体"/>
                <w:sz w:val="24"/>
              </w:rPr>
            </w:pPr>
            <w:r>
              <w:rPr>
                <w:rFonts w:hint="eastAsia" w:ascii="宋体" w:hAnsi="宋体" w:cs="宋体"/>
                <w:sz w:val="24"/>
              </w:rPr>
              <w:t xml:space="preserve">名称</w:t>
            </w:r>
            <w:r/>
          </w:p>
        </w:tc>
        <w:tc>
          <w:tcPr>
            <w:shd w:val="clear" w:color="auto" w:fill="ffffff" w:themeFill="background1"/>
            <w:tcMar>
              <w:left w:w="15" w:type="dxa"/>
              <w:top w:w="15" w:type="dxa"/>
              <w:right w:w="15" w:type="dxa"/>
              <w:bottom w:w="0" w:type="dxa"/>
            </w:tcMar>
            <w:tcW w:w="1005" w:type="dxa"/>
            <w:vAlign w:val="center"/>
            <w:textDirection w:val="lrTb"/>
            <w:noWrap w:val="false"/>
          </w:tcPr>
          <w:p>
            <w:pPr>
              <w:jc w:val="center"/>
              <w:rPr>
                <w:rFonts w:ascii="宋体" w:hAnsi="宋体" w:cs="宋体"/>
                <w:sz w:val="24"/>
              </w:rPr>
            </w:pPr>
            <w:r>
              <w:rPr>
                <w:rFonts w:hint="eastAsia" w:ascii="宋体" w:hAnsi="宋体" w:cs="宋体"/>
                <w:sz w:val="24"/>
              </w:rPr>
              <w:t xml:space="preserve">品牌、规格、型号</w:t>
            </w:r>
            <w:r/>
          </w:p>
        </w:tc>
        <w:tc>
          <w:tcPr>
            <w:shd w:val="clear" w:color="auto" w:fill="ffffff" w:themeFill="background1"/>
            <w:tcMar>
              <w:left w:w="15" w:type="dxa"/>
              <w:top w:w="15" w:type="dxa"/>
              <w:right w:w="15" w:type="dxa"/>
              <w:bottom w:w="0" w:type="dxa"/>
            </w:tcMar>
            <w:tcW w:w="1041" w:type="dxa"/>
            <w:vAlign w:val="center"/>
            <w:textDirection w:val="lrTb"/>
            <w:noWrap w:val="false"/>
          </w:tcPr>
          <w:p>
            <w:pPr>
              <w:jc w:val="center"/>
              <w:rPr>
                <w:rFonts w:ascii="宋体" w:hAnsi="宋体" w:cs="宋体"/>
                <w:sz w:val="24"/>
              </w:rPr>
            </w:pPr>
            <w:r>
              <w:rPr>
                <w:rFonts w:hint="eastAsia" w:ascii="宋体" w:hAnsi="宋体" w:cs="宋体"/>
                <w:sz w:val="24"/>
              </w:rPr>
              <w:t xml:space="preserve">产品制造企业名称（全称）</w:t>
            </w:r>
            <w:r/>
          </w:p>
        </w:tc>
        <w:tc>
          <w:tcPr>
            <w:shd w:val="clear" w:color="auto" w:fill="ffffff" w:themeFill="background1"/>
            <w:tcMar>
              <w:left w:w="15" w:type="dxa"/>
              <w:top w:w="15" w:type="dxa"/>
              <w:right w:w="15" w:type="dxa"/>
              <w:bottom w:w="0" w:type="dxa"/>
            </w:tcMar>
            <w:tcW w:w="2977" w:type="dxa"/>
            <w:vAlign w:val="center"/>
            <w:textDirection w:val="lrTb"/>
            <w:noWrap w:val="false"/>
          </w:tcPr>
          <w:p>
            <w:pPr>
              <w:jc w:val="center"/>
              <w:rPr>
                <w:rFonts w:ascii="宋体" w:hAnsi="宋体" w:cs="宋体"/>
                <w:sz w:val="24"/>
              </w:rPr>
            </w:pPr>
            <w:r>
              <w:rPr>
                <w:rFonts w:hint="eastAsia" w:ascii="宋体" w:hAnsi="宋体" w:cs="宋体"/>
                <w:sz w:val="24"/>
              </w:rPr>
              <w:t xml:space="preserve">产品制造企业的划分（大型、中型、小型、微型、监狱企业、享受政府采购支持政策的残疾人福利性单位）</w:t>
            </w:r>
            <w:r/>
          </w:p>
        </w:tc>
        <w:tc>
          <w:tcPr>
            <w:shd w:val="clear" w:color="auto" w:fill="ffffff" w:themeFill="background1"/>
            <w:tcMar>
              <w:left w:w="15" w:type="dxa"/>
              <w:top w:w="15" w:type="dxa"/>
              <w:right w:w="15" w:type="dxa"/>
              <w:bottom w:w="0" w:type="dxa"/>
            </w:tcMar>
            <w:tcW w:w="669" w:type="dxa"/>
            <w:vAlign w:val="center"/>
            <w:textDirection w:val="lrTb"/>
            <w:noWrap w:val="false"/>
          </w:tcPr>
          <w:p>
            <w:pPr>
              <w:jc w:val="center"/>
              <w:rPr>
                <w:rFonts w:ascii="宋体" w:hAnsi="宋体" w:cs="宋体"/>
                <w:sz w:val="24"/>
              </w:rPr>
            </w:pPr>
            <w:r>
              <w:rPr>
                <w:rFonts w:hint="eastAsia" w:ascii="宋体" w:hAnsi="宋体" w:cs="宋体"/>
                <w:sz w:val="24"/>
              </w:rPr>
              <w:t xml:space="preserve">产地</w:t>
            </w:r>
            <w:r/>
          </w:p>
        </w:tc>
        <w:tc>
          <w:tcPr>
            <w:shd w:val="clear" w:color="auto" w:fill="ffffff" w:themeFill="background1"/>
            <w:tcMar>
              <w:left w:w="15" w:type="dxa"/>
              <w:top w:w="15" w:type="dxa"/>
              <w:right w:w="15" w:type="dxa"/>
              <w:bottom w:w="0" w:type="dxa"/>
            </w:tcMar>
            <w:tcW w:w="681" w:type="dxa"/>
            <w:vAlign w:val="center"/>
            <w:textDirection w:val="lrTb"/>
            <w:noWrap w:val="false"/>
          </w:tcPr>
          <w:p>
            <w:pPr>
              <w:jc w:val="center"/>
              <w:rPr>
                <w:rFonts w:ascii="宋体" w:hAnsi="宋体" w:cs="宋体"/>
                <w:sz w:val="24"/>
              </w:rPr>
            </w:pPr>
            <w:r>
              <w:rPr>
                <w:rFonts w:hint="eastAsia" w:ascii="宋体" w:hAnsi="宋体" w:cs="宋体"/>
                <w:sz w:val="24"/>
              </w:rPr>
              <w:t xml:space="preserve">数量</w:t>
            </w:r>
            <w:r/>
          </w:p>
        </w:tc>
        <w:tc>
          <w:tcPr>
            <w:shd w:val="clear" w:color="auto" w:fill="ffffff" w:themeFill="background1"/>
            <w:tcMar>
              <w:left w:w="15" w:type="dxa"/>
              <w:top w:w="15" w:type="dxa"/>
              <w:right w:w="15" w:type="dxa"/>
              <w:bottom w:w="0" w:type="dxa"/>
            </w:tcMar>
            <w:tcW w:w="554" w:type="dxa"/>
            <w:vAlign w:val="center"/>
            <w:textDirection w:val="lrTb"/>
            <w:noWrap w:val="false"/>
          </w:tcPr>
          <w:p>
            <w:pPr>
              <w:jc w:val="center"/>
              <w:rPr>
                <w:rFonts w:ascii="宋体" w:hAnsi="宋体" w:cs="宋体"/>
                <w:sz w:val="24"/>
              </w:rPr>
            </w:pPr>
            <w:r>
              <w:rPr>
                <w:rFonts w:hint="eastAsia" w:ascii="宋体" w:hAnsi="宋体" w:cs="宋体"/>
                <w:sz w:val="24"/>
              </w:rPr>
              <w:t xml:space="preserve">数量单位</w:t>
            </w:r>
            <w:r/>
          </w:p>
        </w:tc>
        <w:tc>
          <w:tcPr>
            <w:shd w:val="clear" w:color="auto" w:fill="ffffff" w:themeFill="background1"/>
            <w:tcMar>
              <w:left w:w="15" w:type="dxa"/>
              <w:top w:w="15" w:type="dxa"/>
              <w:right w:w="15" w:type="dxa"/>
              <w:bottom w:w="0" w:type="dxa"/>
            </w:tcMar>
            <w:tcW w:w="531" w:type="dxa"/>
            <w:vAlign w:val="center"/>
            <w:textDirection w:val="lrTb"/>
            <w:noWrap w:val="false"/>
          </w:tcPr>
          <w:p>
            <w:pPr>
              <w:jc w:val="center"/>
              <w:rPr>
                <w:rFonts w:ascii="宋体" w:hAnsi="宋体" w:cs="宋体"/>
                <w:sz w:val="24"/>
              </w:rPr>
            </w:pPr>
            <w:r>
              <w:rPr>
                <w:rFonts w:hint="eastAsia" w:ascii="宋体" w:hAnsi="宋体" w:cs="宋体"/>
                <w:sz w:val="24"/>
              </w:rPr>
              <w:t xml:space="preserve">单价</w:t>
            </w:r>
            <w:r/>
          </w:p>
        </w:tc>
        <w:tc>
          <w:tcPr>
            <w:shd w:val="clear" w:color="auto" w:fill="ffffff" w:themeFill="background1"/>
            <w:tcW w:w="831" w:type="dxa"/>
            <w:vAlign w:val="center"/>
            <w:textDirection w:val="lrTb"/>
            <w:noWrap w:val="false"/>
          </w:tcPr>
          <w:p>
            <w:pPr>
              <w:jc w:val="center"/>
              <w:rPr>
                <w:rFonts w:ascii="宋体" w:hAnsi="宋体" w:cs="宋体"/>
                <w:sz w:val="24"/>
              </w:rPr>
            </w:pPr>
            <w:r>
              <w:rPr>
                <w:rFonts w:hint="eastAsia" w:ascii="宋体" w:hAnsi="宋体" w:cs="宋体"/>
                <w:sz w:val="24"/>
              </w:rPr>
              <w:t xml:space="preserve">总价</w:t>
            </w:r>
            <w:r/>
          </w:p>
        </w:tc>
        <w:tc>
          <w:tcPr>
            <w:shd w:val="clear" w:color="auto" w:fill="ffffff" w:themeFill="background1"/>
            <w:tcMar>
              <w:left w:w="15" w:type="dxa"/>
              <w:top w:w="15" w:type="dxa"/>
              <w:right w:w="15" w:type="dxa"/>
              <w:bottom w:w="0" w:type="dxa"/>
            </w:tcMar>
            <w:tcW w:w="778" w:type="dxa"/>
            <w:vAlign w:val="center"/>
            <w:textDirection w:val="lrTb"/>
            <w:noWrap w:val="false"/>
          </w:tcPr>
          <w:p>
            <w:pPr>
              <w:jc w:val="center"/>
              <w:rPr>
                <w:rFonts w:ascii="宋体" w:hAnsi="宋体" w:cs="宋体"/>
                <w:sz w:val="24"/>
              </w:rPr>
            </w:pPr>
            <w:r>
              <w:rPr>
                <w:rFonts w:hint="eastAsia" w:ascii="宋体" w:hAnsi="宋体" w:cs="宋体"/>
                <w:b/>
                <w:bCs/>
                <w:sz w:val="24"/>
              </w:rPr>
              <w:t xml:space="preserve">备注</w:t>
            </w:r>
            <w:r/>
          </w:p>
        </w:tc>
      </w:tr>
      <w:tr>
        <w:trPr>
          <w:jc w:val="center"/>
          <w:trHeight w:val="300"/>
        </w:trPr>
        <w:tc>
          <w:tcPr>
            <w:tcMar>
              <w:left w:w="15" w:type="dxa"/>
              <w:top w:w="15" w:type="dxa"/>
              <w:right w:w="15" w:type="dxa"/>
              <w:bottom w:w="0" w:type="dxa"/>
            </w:tcMar>
            <w:tcW w:w="505" w:type="dxa"/>
            <w:vAlign w:val="bottom"/>
            <w:textDirection w:val="lrTb"/>
            <w:noWrap w:val="false"/>
          </w:tcPr>
          <w:p>
            <w:pPr>
              <w:jc w:val="center"/>
              <w:rPr>
                <w:rFonts w:ascii="宋体" w:hAnsi="宋体" w:cs="宋体"/>
                <w:sz w:val="24"/>
              </w:rPr>
            </w:pPr>
            <w:r>
              <w:rPr>
                <w:rFonts w:hint="eastAsia" w:ascii="宋体" w:hAnsi="宋体" w:cs="宋体"/>
                <w:sz w:val="24"/>
              </w:rPr>
              <w:t xml:space="preserve">1</w:t>
            </w:r>
            <w:r/>
          </w:p>
        </w:tc>
        <w:tc>
          <w:tcPr>
            <w:tcMar>
              <w:left w:w="15" w:type="dxa"/>
              <w:top w:w="15" w:type="dxa"/>
              <w:right w:w="15" w:type="dxa"/>
              <w:bottom w:w="0" w:type="dxa"/>
            </w:tcMar>
            <w:tcW w:w="975" w:type="dxa"/>
            <w:vAlign w:val="bottom"/>
            <w:textDirection w:val="lrTb"/>
            <w:noWrap w:val="false"/>
          </w:tcPr>
          <w:p>
            <w:pPr>
              <w:jc w:val="center"/>
              <w:rPr>
                <w:rFonts w:ascii="宋体" w:hAnsi="宋体" w:cs="宋体"/>
                <w:sz w:val="24"/>
              </w:rPr>
            </w:pPr>
            <w:r>
              <w:rPr>
                <w:rFonts w:ascii="宋体" w:hAnsi="宋体" w:cs="宋体"/>
                <w:sz w:val="24"/>
              </w:rPr>
            </w:r>
            <w:r/>
          </w:p>
        </w:tc>
        <w:tc>
          <w:tcPr>
            <w:tcMar>
              <w:left w:w="15" w:type="dxa"/>
              <w:top w:w="15" w:type="dxa"/>
              <w:right w:w="15" w:type="dxa"/>
              <w:bottom w:w="0" w:type="dxa"/>
            </w:tcMar>
            <w:tcW w:w="1005" w:type="dxa"/>
            <w:vAlign w:val="bottom"/>
            <w:textDirection w:val="lrTb"/>
            <w:noWrap w:val="false"/>
          </w:tcPr>
          <w:p>
            <w:pPr>
              <w:jc w:val="center"/>
              <w:rPr>
                <w:rFonts w:ascii="宋体" w:hAnsi="宋体" w:cs="宋体"/>
                <w:sz w:val="24"/>
              </w:rPr>
            </w:pPr>
            <w:r>
              <w:rPr>
                <w:rFonts w:ascii="宋体" w:hAnsi="宋体" w:cs="宋体"/>
                <w:sz w:val="24"/>
              </w:rPr>
            </w:r>
            <w:r/>
          </w:p>
        </w:tc>
        <w:tc>
          <w:tcPr>
            <w:tcMar>
              <w:left w:w="15" w:type="dxa"/>
              <w:top w:w="15" w:type="dxa"/>
              <w:right w:w="15" w:type="dxa"/>
              <w:bottom w:w="0" w:type="dxa"/>
            </w:tcMar>
            <w:tcW w:w="1041" w:type="dxa"/>
            <w:textDirection w:val="lrTb"/>
            <w:noWrap w:val="false"/>
          </w:tcPr>
          <w:p>
            <w:pPr>
              <w:jc w:val="center"/>
              <w:rPr>
                <w:rFonts w:ascii="宋体" w:hAnsi="宋体" w:cs="宋体"/>
                <w:sz w:val="24"/>
              </w:rPr>
            </w:pPr>
            <w:r>
              <w:rPr>
                <w:rFonts w:ascii="宋体" w:hAnsi="宋体" w:cs="宋体"/>
                <w:sz w:val="24"/>
              </w:rPr>
            </w:r>
            <w:r/>
          </w:p>
        </w:tc>
        <w:tc>
          <w:tcPr>
            <w:tcMar>
              <w:left w:w="15" w:type="dxa"/>
              <w:top w:w="15" w:type="dxa"/>
              <w:right w:w="15" w:type="dxa"/>
              <w:bottom w:w="0" w:type="dxa"/>
            </w:tcMar>
            <w:tcW w:w="2977" w:type="dxa"/>
            <w:textDirection w:val="lrTb"/>
            <w:noWrap w:val="false"/>
          </w:tcPr>
          <w:p>
            <w:pPr>
              <w:jc w:val="center"/>
              <w:rPr>
                <w:rFonts w:ascii="宋体" w:hAnsi="宋体" w:cs="宋体"/>
                <w:sz w:val="24"/>
              </w:rPr>
            </w:pPr>
            <w:r>
              <w:rPr>
                <w:rFonts w:ascii="宋体" w:hAnsi="宋体" w:cs="宋体"/>
                <w:sz w:val="24"/>
              </w:rPr>
            </w:r>
            <w:r/>
          </w:p>
        </w:tc>
        <w:tc>
          <w:tcPr>
            <w:tcMar>
              <w:left w:w="15" w:type="dxa"/>
              <w:top w:w="15" w:type="dxa"/>
              <w:right w:w="15" w:type="dxa"/>
              <w:bottom w:w="0" w:type="dxa"/>
            </w:tcMar>
            <w:tcW w:w="669" w:type="dxa"/>
            <w:vAlign w:val="bottom"/>
            <w:textDirection w:val="lrTb"/>
            <w:noWrap w:val="false"/>
          </w:tcPr>
          <w:p>
            <w:pPr>
              <w:jc w:val="center"/>
              <w:rPr>
                <w:rFonts w:ascii="宋体" w:hAnsi="宋体" w:cs="宋体"/>
                <w:sz w:val="24"/>
              </w:rPr>
            </w:pPr>
            <w:r>
              <w:rPr>
                <w:rFonts w:ascii="宋体" w:hAnsi="宋体" w:cs="宋体"/>
                <w:sz w:val="24"/>
              </w:rPr>
            </w:r>
            <w:r/>
          </w:p>
        </w:tc>
        <w:tc>
          <w:tcPr>
            <w:tcMar>
              <w:left w:w="15" w:type="dxa"/>
              <w:top w:w="15" w:type="dxa"/>
              <w:right w:w="15" w:type="dxa"/>
              <w:bottom w:w="0" w:type="dxa"/>
            </w:tcMar>
            <w:tcW w:w="681" w:type="dxa"/>
            <w:vAlign w:val="bottom"/>
            <w:textDirection w:val="lrTb"/>
            <w:noWrap w:val="false"/>
          </w:tcPr>
          <w:p>
            <w:pPr>
              <w:jc w:val="center"/>
              <w:rPr>
                <w:rFonts w:ascii="宋体" w:hAnsi="宋体" w:cs="宋体"/>
                <w:sz w:val="24"/>
              </w:rPr>
            </w:pPr>
            <w:r>
              <w:rPr>
                <w:rFonts w:ascii="宋体" w:hAnsi="宋体" w:cs="宋体"/>
                <w:sz w:val="24"/>
              </w:rPr>
            </w:r>
            <w:r/>
          </w:p>
        </w:tc>
        <w:tc>
          <w:tcPr>
            <w:tcMar>
              <w:left w:w="15" w:type="dxa"/>
              <w:top w:w="15" w:type="dxa"/>
              <w:right w:w="15" w:type="dxa"/>
              <w:bottom w:w="0" w:type="dxa"/>
            </w:tcMar>
            <w:tcW w:w="554" w:type="dxa"/>
            <w:vAlign w:val="bottom"/>
            <w:textDirection w:val="lrTb"/>
            <w:noWrap w:val="false"/>
          </w:tcPr>
          <w:p>
            <w:pPr>
              <w:jc w:val="center"/>
              <w:rPr>
                <w:rFonts w:ascii="宋体" w:hAnsi="宋体" w:cs="宋体"/>
                <w:sz w:val="24"/>
              </w:rPr>
            </w:pPr>
            <w:r>
              <w:rPr>
                <w:rFonts w:ascii="宋体" w:hAnsi="宋体" w:cs="宋体"/>
                <w:sz w:val="24"/>
              </w:rPr>
            </w:r>
            <w:r/>
          </w:p>
        </w:tc>
        <w:tc>
          <w:tcPr>
            <w:tcMar>
              <w:left w:w="15" w:type="dxa"/>
              <w:top w:w="15" w:type="dxa"/>
              <w:right w:w="15" w:type="dxa"/>
              <w:bottom w:w="0" w:type="dxa"/>
            </w:tcMar>
            <w:tcW w:w="531" w:type="dxa"/>
            <w:vAlign w:val="bottom"/>
            <w:textDirection w:val="lrTb"/>
            <w:noWrap w:val="false"/>
          </w:tcPr>
          <w:p>
            <w:pPr>
              <w:jc w:val="center"/>
              <w:rPr>
                <w:rFonts w:ascii="宋体" w:hAnsi="宋体" w:cs="宋体"/>
                <w:sz w:val="24"/>
              </w:rPr>
            </w:pPr>
            <w:r>
              <w:rPr>
                <w:rFonts w:ascii="宋体" w:hAnsi="宋体" w:cs="宋体"/>
                <w:sz w:val="24"/>
              </w:rPr>
            </w:r>
            <w:r/>
          </w:p>
        </w:tc>
        <w:tc>
          <w:tcPr>
            <w:tcW w:w="831" w:type="dxa"/>
            <w:textDirection w:val="lrTb"/>
            <w:noWrap w:val="false"/>
          </w:tcPr>
          <w:p>
            <w:pPr>
              <w:jc w:val="center"/>
              <w:rPr>
                <w:rFonts w:ascii="宋体" w:hAnsi="宋体" w:cs="宋体"/>
                <w:sz w:val="24"/>
              </w:rPr>
            </w:pPr>
            <w:r>
              <w:rPr>
                <w:rFonts w:ascii="宋体" w:hAnsi="宋体" w:cs="宋体"/>
                <w:sz w:val="24"/>
              </w:rPr>
            </w:r>
            <w:r/>
          </w:p>
        </w:tc>
        <w:tc>
          <w:tcPr>
            <w:tcMar>
              <w:left w:w="15" w:type="dxa"/>
              <w:top w:w="15" w:type="dxa"/>
              <w:right w:w="15" w:type="dxa"/>
              <w:bottom w:w="0" w:type="dxa"/>
            </w:tcMar>
            <w:tcW w:w="778" w:type="dxa"/>
            <w:vAlign w:val="bottom"/>
            <w:textDirection w:val="lrTb"/>
            <w:noWrap w:val="false"/>
          </w:tcPr>
          <w:p>
            <w:pPr>
              <w:jc w:val="center"/>
              <w:rPr>
                <w:rFonts w:ascii="宋体" w:hAnsi="宋体" w:cs="宋体"/>
                <w:sz w:val="24"/>
              </w:rPr>
            </w:pPr>
            <w:r>
              <w:rPr>
                <w:rFonts w:ascii="宋体" w:hAnsi="宋体" w:cs="宋体"/>
                <w:sz w:val="24"/>
              </w:rPr>
            </w:r>
            <w:r/>
          </w:p>
        </w:tc>
      </w:tr>
      <w:tr>
        <w:trPr>
          <w:jc w:val="center"/>
          <w:trHeight w:val="214"/>
        </w:trPr>
        <w:tc>
          <w:tcPr>
            <w:tcMar>
              <w:left w:w="15" w:type="dxa"/>
              <w:top w:w="15" w:type="dxa"/>
              <w:right w:w="15" w:type="dxa"/>
              <w:bottom w:w="0" w:type="dxa"/>
            </w:tcMar>
            <w:tcW w:w="505" w:type="dxa"/>
            <w:vAlign w:val="bottom"/>
            <w:textDirection w:val="lrTb"/>
            <w:noWrap w:val="false"/>
          </w:tcPr>
          <w:p>
            <w:pPr>
              <w:jc w:val="center"/>
              <w:rPr>
                <w:rFonts w:ascii="宋体" w:hAnsi="宋体" w:cs="宋体"/>
                <w:sz w:val="24"/>
              </w:rPr>
            </w:pPr>
            <w:r>
              <w:rPr>
                <w:rFonts w:hint="eastAsia" w:ascii="宋体" w:hAnsi="宋体" w:cs="宋体"/>
                <w:sz w:val="24"/>
              </w:rPr>
              <w:t xml:space="preserve">2</w:t>
            </w:r>
            <w:r/>
          </w:p>
        </w:tc>
        <w:tc>
          <w:tcPr>
            <w:tcMar>
              <w:left w:w="15" w:type="dxa"/>
              <w:top w:w="15" w:type="dxa"/>
              <w:right w:w="15" w:type="dxa"/>
              <w:bottom w:w="0" w:type="dxa"/>
            </w:tcMar>
            <w:tcW w:w="975" w:type="dxa"/>
            <w:vAlign w:val="bottom"/>
            <w:textDirection w:val="lrTb"/>
            <w:noWrap w:val="false"/>
          </w:tcPr>
          <w:p>
            <w:pPr>
              <w:jc w:val="center"/>
              <w:rPr>
                <w:rFonts w:ascii="宋体" w:hAnsi="宋体" w:cs="宋体"/>
                <w:sz w:val="24"/>
              </w:rPr>
            </w:pPr>
            <w:r>
              <w:rPr>
                <w:rFonts w:ascii="宋体" w:hAnsi="宋体" w:cs="宋体"/>
                <w:sz w:val="24"/>
              </w:rPr>
            </w:r>
            <w:r/>
          </w:p>
        </w:tc>
        <w:tc>
          <w:tcPr>
            <w:tcMar>
              <w:left w:w="15" w:type="dxa"/>
              <w:top w:w="15" w:type="dxa"/>
              <w:right w:w="15" w:type="dxa"/>
              <w:bottom w:w="0" w:type="dxa"/>
            </w:tcMar>
            <w:tcW w:w="1005" w:type="dxa"/>
            <w:vAlign w:val="bottom"/>
            <w:textDirection w:val="lrTb"/>
            <w:noWrap w:val="false"/>
          </w:tcPr>
          <w:p>
            <w:pPr>
              <w:jc w:val="center"/>
              <w:rPr>
                <w:rFonts w:ascii="宋体" w:hAnsi="宋体" w:cs="宋体"/>
                <w:sz w:val="24"/>
              </w:rPr>
            </w:pPr>
            <w:r>
              <w:rPr>
                <w:rFonts w:ascii="宋体" w:hAnsi="宋体" w:cs="宋体"/>
                <w:sz w:val="24"/>
              </w:rPr>
            </w:r>
            <w:r/>
          </w:p>
        </w:tc>
        <w:tc>
          <w:tcPr>
            <w:tcMar>
              <w:left w:w="15" w:type="dxa"/>
              <w:top w:w="15" w:type="dxa"/>
              <w:right w:w="15" w:type="dxa"/>
              <w:bottom w:w="0" w:type="dxa"/>
            </w:tcMar>
            <w:tcW w:w="1041" w:type="dxa"/>
            <w:textDirection w:val="lrTb"/>
            <w:noWrap w:val="false"/>
          </w:tcPr>
          <w:p>
            <w:pPr>
              <w:jc w:val="center"/>
              <w:rPr>
                <w:rFonts w:ascii="宋体" w:hAnsi="宋体" w:cs="宋体"/>
                <w:sz w:val="24"/>
              </w:rPr>
            </w:pPr>
            <w:r>
              <w:rPr>
                <w:rFonts w:ascii="宋体" w:hAnsi="宋体" w:cs="宋体"/>
                <w:sz w:val="24"/>
              </w:rPr>
            </w:r>
            <w:r/>
          </w:p>
        </w:tc>
        <w:tc>
          <w:tcPr>
            <w:tcMar>
              <w:left w:w="15" w:type="dxa"/>
              <w:top w:w="15" w:type="dxa"/>
              <w:right w:w="15" w:type="dxa"/>
              <w:bottom w:w="0" w:type="dxa"/>
            </w:tcMar>
            <w:tcW w:w="2977" w:type="dxa"/>
            <w:textDirection w:val="lrTb"/>
            <w:noWrap w:val="false"/>
          </w:tcPr>
          <w:p>
            <w:pPr>
              <w:jc w:val="center"/>
              <w:rPr>
                <w:rFonts w:ascii="宋体" w:hAnsi="宋体" w:cs="宋体"/>
                <w:sz w:val="24"/>
              </w:rPr>
            </w:pPr>
            <w:r>
              <w:rPr>
                <w:rFonts w:ascii="宋体" w:hAnsi="宋体" w:cs="宋体"/>
                <w:sz w:val="24"/>
              </w:rPr>
            </w:r>
            <w:r/>
          </w:p>
        </w:tc>
        <w:tc>
          <w:tcPr>
            <w:tcMar>
              <w:left w:w="15" w:type="dxa"/>
              <w:top w:w="15" w:type="dxa"/>
              <w:right w:w="15" w:type="dxa"/>
              <w:bottom w:w="0" w:type="dxa"/>
            </w:tcMar>
            <w:tcW w:w="669" w:type="dxa"/>
            <w:vAlign w:val="bottom"/>
            <w:textDirection w:val="lrTb"/>
            <w:noWrap w:val="false"/>
          </w:tcPr>
          <w:p>
            <w:pPr>
              <w:jc w:val="center"/>
              <w:rPr>
                <w:rFonts w:ascii="宋体" w:hAnsi="宋体" w:cs="宋体"/>
                <w:sz w:val="24"/>
              </w:rPr>
            </w:pPr>
            <w:r>
              <w:rPr>
                <w:rFonts w:ascii="宋体" w:hAnsi="宋体" w:cs="宋体"/>
                <w:sz w:val="24"/>
              </w:rPr>
            </w:r>
            <w:r/>
          </w:p>
        </w:tc>
        <w:tc>
          <w:tcPr>
            <w:tcMar>
              <w:left w:w="15" w:type="dxa"/>
              <w:top w:w="15" w:type="dxa"/>
              <w:right w:w="15" w:type="dxa"/>
              <w:bottom w:w="0" w:type="dxa"/>
            </w:tcMar>
            <w:tcW w:w="681" w:type="dxa"/>
            <w:vAlign w:val="bottom"/>
            <w:textDirection w:val="lrTb"/>
            <w:noWrap w:val="false"/>
          </w:tcPr>
          <w:p>
            <w:pPr>
              <w:jc w:val="center"/>
              <w:rPr>
                <w:rFonts w:ascii="宋体" w:hAnsi="宋体" w:cs="宋体"/>
                <w:sz w:val="24"/>
              </w:rPr>
            </w:pPr>
            <w:r>
              <w:rPr>
                <w:rFonts w:ascii="宋体" w:hAnsi="宋体" w:cs="宋体"/>
                <w:sz w:val="24"/>
              </w:rPr>
            </w:r>
            <w:r/>
          </w:p>
        </w:tc>
        <w:tc>
          <w:tcPr>
            <w:tcMar>
              <w:left w:w="15" w:type="dxa"/>
              <w:top w:w="15" w:type="dxa"/>
              <w:right w:w="15" w:type="dxa"/>
              <w:bottom w:w="0" w:type="dxa"/>
            </w:tcMar>
            <w:tcW w:w="554" w:type="dxa"/>
            <w:vAlign w:val="bottom"/>
            <w:textDirection w:val="lrTb"/>
            <w:noWrap w:val="false"/>
          </w:tcPr>
          <w:p>
            <w:pPr>
              <w:jc w:val="center"/>
              <w:rPr>
                <w:rFonts w:ascii="宋体" w:hAnsi="宋体" w:cs="宋体"/>
                <w:sz w:val="24"/>
              </w:rPr>
            </w:pPr>
            <w:r>
              <w:rPr>
                <w:rFonts w:ascii="宋体" w:hAnsi="宋体" w:cs="宋体"/>
                <w:sz w:val="24"/>
              </w:rPr>
            </w:r>
            <w:r/>
          </w:p>
        </w:tc>
        <w:tc>
          <w:tcPr>
            <w:tcMar>
              <w:left w:w="15" w:type="dxa"/>
              <w:top w:w="15" w:type="dxa"/>
              <w:right w:w="15" w:type="dxa"/>
              <w:bottom w:w="0" w:type="dxa"/>
            </w:tcMar>
            <w:tcW w:w="531" w:type="dxa"/>
            <w:vAlign w:val="bottom"/>
            <w:textDirection w:val="lrTb"/>
            <w:noWrap w:val="false"/>
          </w:tcPr>
          <w:p>
            <w:pPr>
              <w:jc w:val="center"/>
              <w:rPr>
                <w:rFonts w:ascii="宋体" w:hAnsi="宋体" w:cs="宋体"/>
                <w:sz w:val="24"/>
              </w:rPr>
            </w:pPr>
            <w:r>
              <w:rPr>
                <w:rFonts w:ascii="宋体" w:hAnsi="宋体" w:cs="宋体"/>
                <w:sz w:val="24"/>
              </w:rPr>
            </w:r>
            <w:r/>
          </w:p>
        </w:tc>
        <w:tc>
          <w:tcPr>
            <w:tcW w:w="831" w:type="dxa"/>
            <w:textDirection w:val="lrTb"/>
            <w:noWrap w:val="false"/>
          </w:tcPr>
          <w:p>
            <w:pPr>
              <w:jc w:val="center"/>
              <w:rPr>
                <w:rFonts w:ascii="宋体" w:hAnsi="宋体" w:cs="宋体"/>
                <w:sz w:val="24"/>
              </w:rPr>
            </w:pPr>
            <w:r>
              <w:rPr>
                <w:rFonts w:ascii="宋体" w:hAnsi="宋体" w:cs="宋体"/>
                <w:sz w:val="24"/>
              </w:rPr>
            </w:r>
            <w:r/>
          </w:p>
        </w:tc>
        <w:tc>
          <w:tcPr>
            <w:tcMar>
              <w:left w:w="15" w:type="dxa"/>
              <w:top w:w="15" w:type="dxa"/>
              <w:right w:w="15" w:type="dxa"/>
              <w:bottom w:w="0" w:type="dxa"/>
            </w:tcMar>
            <w:tcW w:w="778" w:type="dxa"/>
            <w:vAlign w:val="bottom"/>
            <w:textDirection w:val="lrTb"/>
            <w:noWrap w:val="false"/>
          </w:tcPr>
          <w:p>
            <w:pPr>
              <w:jc w:val="center"/>
              <w:rPr>
                <w:rFonts w:ascii="宋体" w:hAnsi="宋体" w:cs="宋体"/>
                <w:sz w:val="24"/>
              </w:rPr>
            </w:pPr>
            <w:r>
              <w:rPr>
                <w:rFonts w:ascii="宋体" w:hAnsi="宋体" w:cs="宋体"/>
                <w:sz w:val="24"/>
              </w:rPr>
            </w:r>
            <w:r/>
          </w:p>
        </w:tc>
      </w:tr>
      <w:tr>
        <w:trPr>
          <w:jc w:val="center"/>
          <w:trHeight w:val="214"/>
        </w:trPr>
        <w:tc>
          <w:tcPr>
            <w:tcMar>
              <w:left w:w="15" w:type="dxa"/>
              <w:top w:w="15" w:type="dxa"/>
              <w:right w:w="15" w:type="dxa"/>
              <w:bottom w:w="0" w:type="dxa"/>
            </w:tcMar>
            <w:tcW w:w="505" w:type="dxa"/>
            <w:vAlign w:val="bottom"/>
            <w:textDirection w:val="lrTb"/>
            <w:noWrap w:val="false"/>
          </w:tcPr>
          <w:p>
            <w:pPr>
              <w:jc w:val="center"/>
              <w:rPr>
                <w:rFonts w:ascii="宋体" w:hAnsi="宋体" w:cs="宋体"/>
                <w:sz w:val="24"/>
              </w:rPr>
            </w:pPr>
            <w:r>
              <w:rPr>
                <w:rFonts w:hint="eastAsia" w:ascii="宋体" w:hAnsi="宋体" w:cs="宋体"/>
                <w:sz w:val="24"/>
              </w:rPr>
              <w:t xml:space="preserve">3</w:t>
            </w:r>
            <w:r/>
          </w:p>
        </w:tc>
        <w:tc>
          <w:tcPr>
            <w:tcMar>
              <w:left w:w="15" w:type="dxa"/>
              <w:top w:w="15" w:type="dxa"/>
              <w:right w:w="15" w:type="dxa"/>
              <w:bottom w:w="0" w:type="dxa"/>
            </w:tcMar>
            <w:tcW w:w="975" w:type="dxa"/>
            <w:vAlign w:val="bottom"/>
            <w:textDirection w:val="lrTb"/>
            <w:noWrap w:val="false"/>
          </w:tcPr>
          <w:p>
            <w:pPr>
              <w:jc w:val="center"/>
              <w:rPr>
                <w:rFonts w:ascii="宋体" w:hAnsi="宋体" w:cs="宋体"/>
                <w:sz w:val="24"/>
              </w:rPr>
            </w:pPr>
            <w:r>
              <w:rPr>
                <w:rFonts w:ascii="宋体" w:hAnsi="宋体" w:cs="宋体"/>
                <w:sz w:val="24"/>
              </w:rPr>
            </w:r>
            <w:r/>
          </w:p>
        </w:tc>
        <w:tc>
          <w:tcPr>
            <w:tcMar>
              <w:left w:w="15" w:type="dxa"/>
              <w:top w:w="15" w:type="dxa"/>
              <w:right w:w="15" w:type="dxa"/>
              <w:bottom w:w="0" w:type="dxa"/>
            </w:tcMar>
            <w:tcW w:w="1005" w:type="dxa"/>
            <w:vAlign w:val="bottom"/>
            <w:textDirection w:val="lrTb"/>
            <w:noWrap w:val="false"/>
          </w:tcPr>
          <w:p>
            <w:pPr>
              <w:jc w:val="center"/>
              <w:rPr>
                <w:rFonts w:ascii="宋体" w:hAnsi="宋体" w:cs="宋体"/>
                <w:sz w:val="24"/>
              </w:rPr>
            </w:pPr>
            <w:r>
              <w:rPr>
                <w:rFonts w:ascii="宋体" w:hAnsi="宋体" w:cs="宋体"/>
                <w:sz w:val="24"/>
              </w:rPr>
            </w:r>
            <w:r/>
          </w:p>
        </w:tc>
        <w:tc>
          <w:tcPr>
            <w:tcMar>
              <w:left w:w="15" w:type="dxa"/>
              <w:top w:w="15" w:type="dxa"/>
              <w:right w:w="15" w:type="dxa"/>
              <w:bottom w:w="0" w:type="dxa"/>
            </w:tcMar>
            <w:tcW w:w="1041" w:type="dxa"/>
            <w:textDirection w:val="lrTb"/>
            <w:noWrap w:val="false"/>
          </w:tcPr>
          <w:p>
            <w:pPr>
              <w:jc w:val="center"/>
              <w:rPr>
                <w:rFonts w:ascii="宋体" w:hAnsi="宋体" w:cs="宋体"/>
                <w:sz w:val="24"/>
              </w:rPr>
            </w:pPr>
            <w:r>
              <w:rPr>
                <w:rFonts w:ascii="宋体" w:hAnsi="宋体" w:cs="宋体"/>
                <w:sz w:val="24"/>
              </w:rPr>
            </w:r>
            <w:r/>
          </w:p>
        </w:tc>
        <w:tc>
          <w:tcPr>
            <w:tcMar>
              <w:left w:w="15" w:type="dxa"/>
              <w:top w:w="15" w:type="dxa"/>
              <w:right w:w="15" w:type="dxa"/>
              <w:bottom w:w="0" w:type="dxa"/>
            </w:tcMar>
            <w:tcW w:w="2977" w:type="dxa"/>
            <w:textDirection w:val="lrTb"/>
            <w:noWrap w:val="false"/>
          </w:tcPr>
          <w:p>
            <w:pPr>
              <w:jc w:val="center"/>
              <w:rPr>
                <w:rFonts w:ascii="宋体" w:hAnsi="宋体" w:cs="宋体"/>
                <w:sz w:val="24"/>
              </w:rPr>
            </w:pPr>
            <w:r>
              <w:rPr>
                <w:rFonts w:ascii="宋体" w:hAnsi="宋体" w:cs="宋体"/>
                <w:sz w:val="24"/>
              </w:rPr>
            </w:r>
            <w:r/>
          </w:p>
        </w:tc>
        <w:tc>
          <w:tcPr>
            <w:tcMar>
              <w:left w:w="15" w:type="dxa"/>
              <w:top w:w="15" w:type="dxa"/>
              <w:right w:w="15" w:type="dxa"/>
              <w:bottom w:w="0" w:type="dxa"/>
            </w:tcMar>
            <w:tcW w:w="669" w:type="dxa"/>
            <w:vAlign w:val="bottom"/>
            <w:textDirection w:val="lrTb"/>
            <w:noWrap w:val="false"/>
          </w:tcPr>
          <w:p>
            <w:pPr>
              <w:jc w:val="center"/>
              <w:rPr>
                <w:rFonts w:ascii="宋体" w:hAnsi="宋体" w:cs="宋体"/>
                <w:sz w:val="24"/>
              </w:rPr>
            </w:pPr>
            <w:r>
              <w:rPr>
                <w:rFonts w:ascii="宋体" w:hAnsi="宋体" w:cs="宋体"/>
                <w:sz w:val="24"/>
              </w:rPr>
            </w:r>
            <w:r/>
          </w:p>
        </w:tc>
        <w:tc>
          <w:tcPr>
            <w:tcMar>
              <w:left w:w="15" w:type="dxa"/>
              <w:top w:w="15" w:type="dxa"/>
              <w:right w:w="15" w:type="dxa"/>
              <w:bottom w:w="0" w:type="dxa"/>
            </w:tcMar>
            <w:tcW w:w="681" w:type="dxa"/>
            <w:vAlign w:val="bottom"/>
            <w:textDirection w:val="lrTb"/>
            <w:noWrap w:val="false"/>
          </w:tcPr>
          <w:p>
            <w:pPr>
              <w:jc w:val="center"/>
              <w:rPr>
                <w:rFonts w:ascii="宋体" w:hAnsi="宋体" w:cs="宋体"/>
                <w:sz w:val="24"/>
              </w:rPr>
            </w:pPr>
            <w:r>
              <w:rPr>
                <w:rFonts w:ascii="宋体" w:hAnsi="宋体" w:cs="宋体"/>
                <w:sz w:val="24"/>
              </w:rPr>
            </w:r>
            <w:r/>
          </w:p>
        </w:tc>
        <w:tc>
          <w:tcPr>
            <w:tcMar>
              <w:left w:w="15" w:type="dxa"/>
              <w:top w:w="15" w:type="dxa"/>
              <w:right w:w="15" w:type="dxa"/>
              <w:bottom w:w="0" w:type="dxa"/>
            </w:tcMar>
            <w:tcW w:w="554" w:type="dxa"/>
            <w:vAlign w:val="bottom"/>
            <w:textDirection w:val="lrTb"/>
            <w:noWrap w:val="false"/>
          </w:tcPr>
          <w:p>
            <w:pPr>
              <w:jc w:val="center"/>
              <w:rPr>
                <w:rFonts w:ascii="宋体" w:hAnsi="宋体" w:cs="宋体"/>
                <w:sz w:val="24"/>
              </w:rPr>
            </w:pPr>
            <w:r>
              <w:rPr>
                <w:rFonts w:ascii="宋体" w:hAnsi="宋体" w:cs="宋体"/>
                <w:sz w:val="24"/>
              </w:rPr>
            </w:r>
            <w:r/>
          </w:p>
        </w:tc>
        <w:tc>
          <w:tcPr>
            <w:tcMar>
              <w:left w:w="15" w:type="dxa"/>
              <w:top w:w="15" w:type="dxa"/>
              <w:right w:w="15" w:type="dxa"/>
              <w:bottom w:w="0" w:type="dxa"/>
            </w:tcMar>
            <w:tcW w:w="531" w:type="dxa"/>
            <w:vAlign w:val="bottom"/>
            <w:textDirection w:val="lrTb"/>
            <w:noWrap w:val="false"/>
          </w:tcPr>
          <w:p>
            <w:pPr>
              <w:jc w:val="center"/>
              <w:rPr>
                <w:rFonts w:ascii="宋体" w:hAnsi="宋体" w:cs="宋体"/>
                <w:sz w:val="24"/>
              </w:rPr>
            </w:pPr>
            <w:r>
              <w:rPr>
                <w:rFonts w:ascii="宋体" w:hAnsi="宋体" w:cs="宋体"/>
                <w:sz w:val="24"/>
              </w:rPr>
            </w:r>
            <w:r/>
          </w:p>
        </w:tc>
        <w:tc>
          <w:tcPr>
            <w:tcW w:w="831" w:type="dxa"/>
            <w:textDirection w:val="lrTb"/>
            <w:noWrap w:val="false"/>
          </w:tcPr>
          <w:p>
            <w:pPr>
              <w:jc w:val="center"/>
              <w:rPr>
                <w:rFonts w:ascii="宋体" w:hAnsi="宋体" w:cs="宋体"/>
                <w:sz w:val="24"/>
              </w:rPr>
            </w:pPr>
            <w:r>
              <w:rPr>
                <w:rFonts w:ascii="宋体" w:hAnsi="宋体" w:cs="宋体"/>
                <w:sz w:val="24"/>
              </w:rPr>
            </w:r>
            <w:r/>
          </w:p>
        </w:tc>
        <w:tc>
          <w:tcPr>
            <w:tcMar>
              <w:left w:w="15" w:type="dxa"/>
              <w:top w:w="15" w:type="dxa"/>
              <w:right w:w="15" w:type="dxa"/>
              <w:bottom w:w="0" w:type="dxa"/>
            </w:tcMar>
            <w:tcW w:w="778" w:type="dxa"/>
            <w:vAlign w:val="bottom"/>
            <w:textDirection w:val="lrTb"/>
            <w:noWrap w:val="false"/>
          </w:tcPr>
          <w:p>
            <w:pPr>
              <w:jc w:val="center"/>
              <w:rPr>
                <w:rFonts w:ascii="宋体" w:hAnsi="宋体" w:cs="宋体"/>
                <w:sz w:val="24"/>
              </w:rPr>
            </w:pPr>
            <w:r>
              <w:rPr>
                <w:rFonts w:ascii="宋体" w:hAnsi="宋体" w:cs="宋体"/>
                <w:sz w:val="24"/>
              </w:rPr>
            </w:r>
            <w:r/>
          </w:p>
        </w:tc>
      </w:tr>
      <w:tr>
        <w:trPr>
          <w:jc w:val="center"/>
          <w:trHeight w:val="322"/>
        </w:trPr>
        <w:tc>
          <w:tcPr>
            <w:tcMar>
              <w:left w:w="15" w:type="dxa"/>
              <w:top w:w="15" w:type="dxa"/>
              <w:right w:w="15" w:type="dxa"/>
              <w:bottom w:w="0" w:type="dxa"/>
            </w:tcMar>
            <w:tcW w:w="505" w:type="dxa"/>
            <w:vAlign w:val="bottom"/>
            <w:textDirection w:val="lrTb"/>
            <w:noWrap w:val="false"/>
          </w:tcPr>
          <w:p>
            <w:pPr>
              <w:jc w:val="center"/>
              <w:rPr>
                <w:rFonts w:ascii="宋体" w:hAnsi="宋体" w:cs="宋体"/>
                <w:sz w:val="24"/>
              </w:rPr>
            </w:pPr>
            <w:r>
              <w:rPr>
                <w:rFonts w:hint="eastAsia" w:ascii="宋体" w:hAnsi="宋体" w:cs="宋体"/>
                <w:sz w:val="24"/>
              </w:rPr>
              <w:t xml:space="preserve">4</w:t>
            </w:r>
            <w:r/>
          </w:p>
        </w:tc>
        <w:tc>
          <w:tcPr>
            <w:tcMar>
              <w:left w:w="15" w:type="dxa"/>
              <w:top w:w="15" w:type="dxa"/>
              <w:right w:w="15" w:type="dxa"/>
              <w:bottom w:w="0" w:type="dxa"/>
            </w:tcMar>
            <w:tcW w:w="975" w:type="dxa"/>
            <w:vAlign w:val="bottom"/>
            <w:textDirection w:val="lrTb"/>
            <w:noWrap w:val="false"/>
          </w:tcPr>
          <w:p>
            <w:pPr>
              <w:jc w:val="center"/>
              <w:rPr>
                <w:rFonts w:ascii="宋体" w:hAnsi="宋体" w:cs="宋体"/>
                <w:sz w:val="24"/>
              </w:rPr>
            </w:pPr>
            <w:r>
              <w:rPr>
                <w:rFonts w:ascii="宋体" w:hAnsi="宋体" w:cs="宋体"/>
                <w:sz w:val="24"/>
              </w:rPr>
            </w:r>
            <w:r/>
          </w:p>
        </w:tc>
        <w:tc>
          <w:tcPr>
            <w:tcMar>
              <w:left w:w="15" w:type="dxa"/>
              <w:top w:w="15" w:type="dxa"/>
              <w:right w:w="15" w:type="dxa"/>
              <w:bottom w:w="0" w:type="dxa"/>
            </w:tcMar>
            <w:tcW w:w="1005" w:type="dxa"/>
            <w:vAlign w:val="bottom"/>
            <w:textDirection w:val="lrTb"/>
            <w:noWrap w:val="false"/>
          </w:tcPr>
          <w:p>
            <w:pPr>
              <w:jc w:val="center"/>
              <w:rPr>
                <w:rFonts w:ascii="宋体" w:hAnsi="宋体" w:cs="宋体"/>
                <w:sz w:val="24"/>
              </w:rPr>
            </w:pPr>
            <w:r>
              <w:rPr>
                <w:rFonts w:ascii="宋体" w:hAnsi="宋体" w:cs="宋体"/>
                <w:sz w:val="24"/>
              </w:rPr>
            </w:r>
            <w:r/>
          </w:p>
        </w:tc>
        <w:tc>
          <w:tcPr>
            <w:tcMar>
              <w:left w:w="15" w:type="dxa"/>
              <w:top w:w="15" w:type="dxa"/>
              <w:right w:w="15" w:type="dxa"/>
              <w:bottom w:w="0" w:type="dxa"/>
            </w:tcMar>
            <w:tcW w:w="1041" w:type="dxa"/>
            <w:textDirection w:val="lrTb"/>
            <w:noWrap w:val="false"/>
          </w:tcPr>
          <w:p>
            <w:pPr>
              <w:jc w:val="center"/>
              <w:rPr>
                <w:rFonts w:ascii="宋体" w:hAnsi="宋体" w:cs="宋体"/>
                <w:sz w:val="24"/>
              </w:rPr>
            </w:pPr>
            <w:r>
              <w:rPr>
                <w:rFonts w:ascii="宋体" w:hAnsi="宋体" w:cs="宋体"/>
                <w:sz w:val="24"/>
              </w:rPr>
            </w:r>
            <w:r/>
          </w:p>
        </w:tc>
        <w:tc>
          <w:tcPr>
            <w:tcMar>
              <w:left w:w="15" w:type="dxa"/>
              <w:top w:w="15" w:type="dxa"/>
              <w:right w:w="15" w:type="dxa"/>
              <w:bottom w:w="0" w:type="dxa"/>
            </w:tcMar>
            <w:tcW w:w="2977" w:type="dxa"/>
            <w:textDirection w:val="lrTb"/>
            <w:noWrap w:val="false"/>
          </w:tcPr>
          <w:p>
            <w:pPr>
              <w:jc w:val="center"/>
              <w:rPr>
                <w:rFonts w:ascii="宋体" w:hAnsi="宋体" w:cs="宋体"/>
                <w:sz w:val="24"/>
              </w:rPr>
            </w:pPr>
            <w:r>
              <w:rPr>
                <w:rFonts w:ascii="宋体" w:hAnsi="宋体" w:cs="宋体"/>
                <w:sz w:val="24"/>
              </w:rPr>
            </w:r>
            <w:r/>
          </w:p>
        </w:tc>
        <w:tc>
          <w:tcPr>
            <w:tcMar>
              <w:left w:w="15" w:type="dxa"/>
              <w:top w:w="15" w:type="dxa"/>
              <w:right w:w="15" w:type="dxa"/>
              <w:bottom w:w="0" w:type="dxa"/>
            </w:tcMar>
            <w:tcW w:w="669" w:type="dxa"/>
            <w:vAlign w:val="bottom"/>
            <w:textDirection w:val="lrTb"/>
            <w:noWrap w:val="false"/>
          </w:tcPr>
          <w:p>
            <w:pPr>
              <w:jc w:val="center"/>
              <w:rPr>
                <w:rFonts w:ascii="宋体" w:hAnsi="宋体" w:cs="宋体"/>
                <w:sz w:val="24"/>
              </w:rPr>
            </w:pPr>
            <w:r>
              <w:rPr>
                <w:rFonts w:ascii="宋体" w:hAnsi="宋体" w:cs="宋体"/>
                <w:sz w:val="24"/>
              </w:rPr>
            </w:r>
            <w:r/>
          </w:p>
        </w:tc>
        <w:tc>
          <w:tcPr>
            <w:tcMar>
              <w:left w:w="15" w:type="dxa"/>
              <w:top w:w="15" w:type="dxa"/>
              <w:right w:w="15" w:type="dxa"/>
              <w:bottom w:w="0" w:type="dxa"/>
            </w:tcMar>
            <w:tcW w:w="681" w:type="dxa"/>
            <w:vAlign w:val="bottom"/>
            <w:textDirection w:val="lrTb"/>
            <w:noWrap w:val="false"/>
          </w:tcPr>
          <w:p>
            <w:pPr>
              <w:jc w:val="center"/>
              <w:rPr>
                <w:rFonts w:ascii="宋体" w:hAnsi="宋体" w:cs="宋体"/>
                <w:sz w:val="24"/>
              </w:rPr>
            </w:pPr>
            <w:r>
              <w:rPr>
                <w:rFonts w:ascii="宋体" w:hAnsi="宋体" w:cs="宋体"/>
                <w:sz w:val="24"/>
              </w:rPr>
            </w:r>
            <w:r/>
          </w:p>
        </w:tc>
        <w:tc>
          <w:tcPr>
            <w:tcMar>
              <w:left w:w="15" w:type="dxa"/>
              <w:top w:w="15" w:type="dxa"/>
              <w:right w:w="15" w:type="dxa"/>
              <w:bottom w:w="0" w:type="dxa"/>
            </w:tcMar>
            <w:tcW w:w="554" w:type="dxa"/>
            <w:vAlign w:val="bottom"/>
            <w:textDirection w:val="lrTb"/>
            <w:noWrap w:val="false"/>
          </w:tcPr>
          <w:p>
            <w:pPr>
              <w:jc w:val="center"/>
              <w:rPr>
                <w:rFonts w:ascii="宋体" w:hAnsi="宋体" w:cs="宋体"/>
                <w:sz w:val="24"/>
              </w:rPr>
            </w:pPr>
            <w:r>
              <w:rPr>
                <w:rFonts w:ascii="宋体" w:hAnsi="宋体" w:cs="宋体"/>
                <w:sz w:val="24"/>
              </w:rPr>
            </w:r>
            <w:r/>
          </w:p>
        </w:tc>
        <w:tc>
          <w:tcPr>
            <w:tcMar>
              <w:left w:w="15" w:type="dxa"/>
              <w:top w:w="15" w:type="dxa"/>
              <w:right w:w="15" w:type="dxa"/>
              <w:bottom w:w="0" w:type="dxa"/>
            </w:tcMar>
            <w:tcW w:w="531" w:type="dxa"/>
            <w:vAlign w:val="bottom"/>
            <w:textDirection w:val="lrTb"/>
            <w:noWrap w:val="false"/>
          </w:tcPr>
          <w:p>
            <w:pPr>
              <w:jc w:val="center"/>
              <w:rPr>
                <w:rFonts w:ascii="宋体" w:hAnsi="宋体" w:cs="宋体"/>
                <w:sz w:val="24"/>
              </w:rPr>
            </w:pPr>
            <w:r>
              <w:rPr>
                <w:rFonts w:ascii="宋体" w:hAnsi="宋体" w:cs="宋体"/>
                <w:sz w:val="24"/>
              </w:rPr>
            </w:r>
            <w:r/>
          </w:p>
        </w:tc>
        <w:tc>
          <w:tcPr>
            <w:tcW w:w="831" w:type="dxa"/>
            <w:textDirection w:val="lrTb"/>
            <w:noWrap w:val="false"/>
          </w:tcPr>
          <w:p>
            <w:pPr>
              <w:jc w:val="center"/>
              <w:rPr>
                <w:rFonts w:ascii="宋体" w:hAnsi="宋体" w:cs="宋体"/>
                <w:sz w:val="24"/>
              </w:rPr>
            </w:pPr>
            <w:r>
              <w:rPr>
                <w:rFonts w:ascii="宋体" w:hAnsi="宋体" w:cs="宋体"/>
                <w:sz w:val="24"/>
              </w:rPr>
            </w:r>
            <w:r/>
          </w:p>
        </w:tc>
        <w:tc>
          <w:tcPr>
            <w:tcMar>
              <w:left w:w="15" w:type="dxa"/>
              <w:top w:w="15" w:type="dxa"/>
              <w:right w:w="15" w:type="dxa"/>
              <w:bottom w:w="0" w:type="dxa"/>
            </w:tcMar>
            <w:tcW w:w="778" w:type="dxa"/>
            <w:vAlign w:val="bottom"/>
            <w:textDirection w:val="lrTb"/>
            <w:noWrap w:val="false"/>
          </w:tcPr>
          <w:p>
            <w:pPr>
              <w:jc w:val="center"/>
              <w:rPr>
                <w:rFonts w:ascii="宋体" w:hAnsi="宋体" w:cs="宋体"/>
                <w:sz w:val="24"/>
              </w:rPr>
            </w:pPr>
            <w:r>
              <w:rPr>
                <w:rFonts w:ascii="宋体" w:hAnsi="宋体" w:cs="宋体"/>
                <w:sz w:val="24"/>
              </w:rPr>
            </w:r>
            <w:r/>
          </w:p>
        </w:tc>
      </w:tr>
      <w:tr>
        <w:trPr>
          <w:jc w:val="center"/>
          <w:trHeight w:val="285"/>
        </w:trPr>
        <w:tc>
          <w:tcPr>
            <w:tcMar>
              <w:left w:w="15" w:type="dxa"/>
              <w:top w:w="15" w:type="dxa"/>
              <w:right w:w="15" w:type="dxa"/>
              <w:bottom w:w="0" w:type="dxa"/>
            </w:tcMar>
            <w:tcW w:w="505" w:type="dxa"/>
            <w:vAlign w:val="bottom"/>
            <w:textDirection w:val="lrTb"/>
            <w:noWrap w:val="false"/>
          </w:tcPr>
          <w:p>
            <w:pPr>
              <w:jc w:val="center"/>
              <w:rPr>
                <w:rFonts w:ascii="宋体" w:hAnsi="宋体" w:cs="宋体"/>
                <w:sz w:val="24"/>
              </w:rPr>
            </w:pPr>
            <w:r>
              <w:rPr>
                <w:rFonts w:hint="eastAsia" w:ascii="宋体" w:hAnsi="宋体" w:cs="宋体"/>
                <w:sz w:val="24"/>
              </w:rPr>
              <w:t xml:space="preserve">5</w:t>
            </w:r>
            <w:r/>
          </w:p>
        </w:tc>
        <w:tc>
          <w:tcPr>
            <w:tcMar>
              <w:left w:w="15" w:type="dxa"/>
              <w:top w:w="15" w:type="dxa"/>
              <w:right w:w="15" w:type="dxa"/>
              <w:bottom w:w="0" w:type="dxa"/>
            </w:tcMar>
            <w:tcW w:w="975" w:type="dxa"/>
            <w:vAlign w:val="bottom"/>
            <w:textDirection w:val="lrTb"/>
            <w:noWrap w:val="false"/>
          </w:tcPr>
          <w:p>
            <w:pPr>
              <w:jc w:val="center"/>
              <w:rPr>
                <w:rFonts w:ascii="宋体" w:hAnsi="宋体" w:cs="宋体"/>
                <w:sz w:val="24"/>
              </w:rPr>
            </w:pPr>
            <w:r>
              <w:rPr>
                <w:rFonts w:ascii="宋体" w:hAnsi="宋体" w:cs="宋体"/>
                <w:sz w:val="24"/>
              </w:rPr>
            </w:r>
            <w:r/>
          </w:p>
        </w:tc>
        <w:tc>
          <w:tcPr>
            <w:tcMar>
              <w:left w:w="15" w:type="dxa"/>
              <w:top w:w="15" w:type="dxa"/>
              <w:right w:w="15" w:type="dxa"/>
              <w:bottom w:w="0" w:type="dxa"/>
            </w:tcMar>
            <w:tcW w:w="1005" w:type="dxa"/>
            <w:vAlign w:val="bottom"/>
            <w:textDirection w:val="lrTb"/>
            <w:noWrap w:val="false"/>
          </w:tcPr>
          <w:p>
            <w:pPr>
              <w:jc w:val="center"/>
              <w:rPr>
                <w:rFonts w:ascii="宋体" w:hAnsi="宋体" w:cs="宋体"/>
                <w:sz w:val="24"/>
              </w:rPr>
            </w:pPr>
            <w:r>
              <w:rPr>
                <w:rFonts w:ascii="宋体" w:hAnsi="宋体" w:cs="宋体"/>
                <w:sz w:val="24"/>
              </w:rPr>
            </w:r>
            <w:r/>
          </w:p>
        </w:tc>
        <w:tc>
          <w:tcPr>
            <w:tcMar>
              <w:left w:w="15" w:type="dxa"/>
              <w:top w:w="15" w:type="dxa"/>
              <w:right w:w="15" w:type="dxa"/>
              <w:bottom w:w="0" w:type="dxa"/>
            </w:tcMar>
            <w:tcW w:w="1041" w:type="dxa"/>
            <w:textDirection w:val="lrTb"/>
            <w:noWrap w:val="false"/>
          </w:tcPr>
          <w:p>
            <w:pPr>
              <w:jc w:val="center"/>
              <w:rPr>
                <w:rFonts w:ascii="宋体" w:hAnsi="宋体" w:cs="宋体"/>
                <w:sz w:val="24"/>
              </w:rPr>
            </w:pPr>
            <w:r>
              <w:rPr>
                <w:rFonts w:ascii="宋体" w:hAnsi="宋体" w:cs="宋体"/>
                <w:sz w:val="24"/>
              </w:rPr>
            </w:r>
            <w:r/>
          </w:p>
        </w:tc>
        <w:tc>
          <w:tcPr>
            <w:tcMar>
              <w:left w:w="15" w:type="dxa"/>
              <w:top w:w="15" w:type="dxa"/>
              <w:right w:w="15" w:type="dxa"/>
              <w:bottom w:w="0" w:type="dxa"/>
            </w:tcMar>
            <w:tcW w:w="2977" w:type="dxa"/>
            <w:textDirection w:val="lrTb"/>
            <w:noWrap w:val="false"/>
          </w:tcPr>
          <w:p>
            <w:pPr>
              <w:jc w:val="center"/>
              <w:rPr>
                <w:rFonts w:ascii="宋体" w:hAnsi="宋体" w:cs="宋体"/>
                <w:sz w:val="24"/>
              </w:rPr>
            </w:pPr>
            <w:r>
              <w:rPr>
                <w:rFonts w:ascii="宋体" w:hAnsi="宋体" w:cs="宋体"/>
                <w:sz w:val="24"/>
              </w:rPr>
            </w:r>
            <w:r/>
          </w:p>
        </w:tc>
        <w:tc>
          <w:tcPr>
            <w:tcMar>
              <w:left w:w="15" w:type="dxa"/>
              <w:top w:w="15" w:type="dxa"/>
              <w:right w:w="15" w:type="dxa"/>
              <w:bottom w:w="0" w:type="dxa"/>
            </w:tcMar>
            <w:tcW w:w="669" w:type="dxa"/>
            <w:vAlign w:val="bottom"/>
            <w:textDirection w:val="lrTb"/>
            <w:noWrap w:val="false"/>
          </w:tcPr>
          <w:p>
            <w:pPr>
              <w:jc w:val="center"/>
              <w:rPr>
                <w:rFonts w:ascii="宋体" w:hAnsi="宋体" w:cs="宋体"/>
                <w:sz w:val="24"/>
              </w:rPr>
            </w:pPr>
            <w:r>
              <w:rPr>
                <w:rFonts w:ascii="宋体" w:hAnsi="宋体" w:cs="宋体"/>
                <w:sz w:val="24"/>
              </w:rPr>
            </w:r>
            <w:r/>
          </w:p>
        </w:tc>
        <w:tc>
          <w:tcPr>
            <w:tcMar>
              <w:left w:w="15" w:type="dxa"/>
              <w:top w:w="15" w:type="dxa"/>
              <w:right w:w="15" w:type="dxa"/>
              <w:bottom w:w="0" w:type="dxa"/>
            </w:tcMar>
            <w:tcW w:w="681" w:type="dxa"/>
            <w:vAlign w:val="bottom"/>
            <w:textDirection w:val="lrTb"/>
            <w:noWrap w:val="false"/>
          </w:tcPr>
          <w:p>
            <w:pPr>
              <w:jc w:val="center"/>
              <w:rPr>
                <w:rFonts w:ascii="宋体" w:hAnsi="宋体" w:cs="宋体"/>
                <w:sz w:val="24"/>
              </w:rPr>
            </w:pPr>
            <w:r>
              <w:rPr>
                <w:rFonts w:ascii="宋体" w:hAnsi="宋体" w:cs="宋体"/>
                <w:sz w:val="24"/>
              </w:rPr>
            </w:r>
            <w:r/>
          </w:p>
        </w:tc>
        <w:tc>
          <w:tcPr>
            <w:tcMar>
              <w:left w:w="15" w:type="dxa"/>
              <w:top w:w="15" w:type="dxa"/>
              <w:right w:w="15" w:type="dxa"/>
              <w:bottom w:w="0" w:type="dxa"/>
            </w:tcMar>
            <w:tcW w:w="554" w:type="dxa"/>
            <w:vAlign w:val="bottom"/>
            <w:textDirection w:val="lrTb"/>
            <w:noWrap w:val="false"/>
          </w:tcPr>
          <w:p>
            <w:pPr>
              <w:jc w:val="center"/>
              <w:rPr>
                <w:rFonts w:ascii="宋体" w:hAnsi="宋体" w:cs="宋体"/>
                <w:sz w:val="24"/>
              </w:rPr>
            </w:pPr>
            <w:r>
              <w:rPr>
                <w:rFonts w:ascii="宋体" w:hAnsi="宋体" w:cs="宋体"/>
                <w:sz w:val="24"/>
              </w:rPr>
            </w:r>
            <w:r/>
          </w:p>
        </w:tc>
        <w:tc>
          <w:tcPr>
            <w:tcMar>
              <w:left w:w="15" w:type="dxa"/>
              <w:top w:w="15" w:type="dxa"/>
              <w:right w:w="15" w:type="dxa"/>
              <w:bottom w:w="0" w:type="dxa"/>
            </w:tcMar>
            <w:tcW w:w="531" w:type="dxa"/>
            <w:vAlign w:val="bottom"/>
            <w:textDirection w:val="lrTb"/>
            <w:noWrap w:val="false"/>
          </w:tcPr>
          <w:p>
            <w:pPr>
              <w:jc w:val="center"/>
              <w:rPr>
                <w:rFonts w:ascii="宋体" w:hAnsi="宋体" w:cs="宋体"/>
                <w:sz w:val="24"/>
              </w:rPr>
            </w:pPr>
            <w:r>
              <w:rPr>
                <w:rFonts w:ascii="宋体" w:hAnsi="宋体" w:cs="宋体"/>
                <w:sz w:val="24"/>
              </w:rPr>
            </w:r>
            <w:r/>
          </w:p>
        </w:tc>
        <w:tc>
          <w:tcPr>
            <w:tcW w:w="831" w:type="dxa"/>
            <w:textDirection w:val="lrTb"/>
            <w:noWrap w:val="false"/>
          </w:tcPr>
          <w:p>
            <w:pPr>
              <w:jc w:val="center"/>
              <w:rPr>
                <w:rFonts w:ascii="宋体" w:hAnsi="宋体" w:cs="宋体"/>
                <w:sz w:val="24"/>
              </w:rPr>
            </w:pPr>
            <w:r>
              <w:rPr>
                <w:rFonts w:ascii="宋体" w:hAnsi="宋体" w:cs="宋体"/>
                <w:sz w:val="24"/>
              </w:rPr>
            </w:r>
            <w:r/>
          </w:p>
        </w:tc>
        <w:tc>
          <w:tcPr>
            <w:tcMar>
              <w:left w:w="15" w:type="dxa"/>
              <w:top w:w="15" w:type="dxa"/>
              <w:right w:w="15" w:type="dxa"/>
              <w:bottom w:w="0" w:type="dxa"/>
            </w:tcMar>
            <w:tcW w:w="778" w:type="dxa"/>
            <w:vAlign w:val="bottom"/>
            <w:textDirection w:val="lrTb"/>
            <w:noWrap w:val="false"/>
          </w:tcPr>
          <w:p>
            <w:pPr>
              <w:jc w:val="center"/>
              <w:rPr>
                <w:rFonts w:ascii="宋体" w:hAnsi="宋体" w:cs="宋体"/>
                <w:sz w:val="24"/>
              </w:rPr>
            </w:pPr>
            <w:r>
              <w:rPr>
                <w:rFonts w:ascii="宋体" w:hAnsi="宋体" w:cs="宋体"/>
                <w:sz w:val="24"/>
              </w:rPr>
            </w:r>
            <w:r/>
          </w:p>
        </w:tc>
      </w:tr>
      <w:tr>
        <w:trPr>
          <w:jc w:val="center"/>
          <w:trHeight w:val="285"/>
        </w:trPr>
        <w:tc>
          <w:tcPr>
            <w:tcMar>
              <w:left w:w="15" w:type="dxa"/>
              <w:top w:w="15" w:type="dxa"/>
              <w:right w:w="15" w:type="dxa"/>
              <w:bottom w:w="0" w:type="dxa"/>
            </w:tcMar>
            <w:tcW w:w="505" w:type="dxa"/>
            <w:vAlign w:val="bottom"/>
            <w:textDirection w:val="lrTb"/>
            <w:noWrap w:val="false"/>
          </w:tcPr>
          <w:p>
            <w:pPr>
              <w:jc w:val="center"/>
              <w:rPr>
                <w:rFonts w:ascii="宋体" w:hAnsi="宋体" w:cs="宋体"/>
                <w:sz w:val="24"/>
              </w:rPr>
            </w:pPr>
            <w:r>
              <w:rPr>
                <w:rFonts w:hint="eastAsia" w:ascii="宋体" w:hAnsi="宋体" w:cs="宋体"/>
                <w:sz w:val="24"/>
              </w:rPr>
              <w:t xml:space="preserve">6</w:t>
            </w:r>
            <w:r/>
          </w:p>
        </w:tc>
        <w:tc>
          <w:tcPr>
            <w:tcMar>
              <w:left w:w="15" w:type="dxa"/>
              <w:top w:w="15" w:type="dxa"/>
              <w:right w:w="15" w:type="dxa"/>
              <w:bottom w:w="0" w:type="dxa"/>
            </w:tcMar>
            <w:tcW w:w="975" w:type="dxa"/>
            <w:vAlign w:val="bottom"/>
            <w:textDirection w:val="lrTb"/>
            <w:noWrap w:val="false"/>
          </w:tcPr>
          <w:p>
            <w:pPr>
              <w:jc w:val="center"/>
              <w:rPr>
                <w:rFonts w:ascii="宋体" w:hAnsi="宋体" w:cs="宋体"/>
                <w:sz w:val="24"/>
              </w:rPr>
            </w:pPr>
            <w:r>
              <w:rPr>
                <w:rFonts w:ascii="宋体" w:hAnsi="宋体" w:cs="宋体"/>
                <w:sz w:val="24"/>
              </w:rPr>
            </w:r>
            <w:r/>
          </w:p>
        </w:tc>
        <w:tc>
          <w:tcPr>
            <w:tcMar>
              <w:left w:w="15" w:type="dxa"/>
              <w:top w:w="15" w:type="dxa"/>
              <w:right w:w="15" w:type="dxa"/>
              <w:bottom w:w="0" w:type="dxa"/>
            </w:tcMar>
            <w:tcW w:w="1005" w:type="dxa"/>
            <w:vAlign w:val="bottom"/>
            <w:textDirection w:val="lrTb"/>
            <w:noWrap w:val="false"/>
          </w:tcPr>
          <w:p>
            <w:pPr>
              <w:jc w:val="center"/>
              <w:rPr>
                <w:rFonts w:ascii="宋体" w:hAnsi="宋体" w:cs="宋体"/>
                <w:sz w:val="24"/>
              </w:rPr>
            </w:pPr>
            <w:r>
              <w:rPr>
                <w:rFonts w:ascii="宋体" w:hAnsi="宋体" w:cs="宋体"/>
                <w:sz w:val="24"/>
              </w:rPr>
            </w:r>
            <w:r/>
          </w:p>
        </w:tc>
        <w:tc>
          <w:tcPr>
            <w:tcMar>
              <w:left w:w="15" w:type="dxa"/>
              <w:top w:w="15" w:type="dxa"/>
              <w:right w:w="15" w:type="dxa"/>
              <w:bottom w:w="0" w:type="dxa"/>
            </w:tcMar>
            <w:tcW w:w="1041" w:type="dxa"/>
            <w:textDirection w:val="lrTb"/>
            <w:noWrap w:val="false"/>
          </w:tcPr>
          <w:p>
            <w:pPr>
              <w:jc w:val="center"/>
              <w:rPr>
                <w:rFonts w:ascii="宋体" w:hAnsi="宋体" w:cs="宋体"/>
                <w:sz w:val="24"/>
              </w:rPr>
            </w:pPr>
            <w:r>
              <w:rPr>
                <w:rFonts w:ascii="宋体" w:hAnsi="宋体" w:cs="宋体"/>
                <w:sz w:val="24"/>
              </w:rPr>
            </w:r>
            <w:r/>
          </w:p>
        </w:tc>
        <w:tc>
          <w:tcPr>
            <w:tcMar>
              <w:left w:w="15" w:type="dxa"/>
              <w:top w:w="15" w:type="dxa"/>
              <w:right w:w="15" w:type="dxa"/>
              <w:bottom w:w="0" w:type="dxa"/>
            </w:tcMar>
            <w:tcW w:w="2977" w:type="dxa"/>
            <w:textDirection w:val="lrTb"/>
            <w:noWrap w:val="false"/>
          </w:tcPr>
          <w:p>
            <w:pPr>
              <w:jc w:val="center"/>
              <w:rPr>
                <w:rFonts w:ascii="宋体" w:hAnsi="宋体" w:cs="宋体"/>
                <w:sz w:val="24"/>
              </w:rPr>
            </w:pPr>
            <w:r>
              <w:rPr>
                <w:rFonts w:ascii="宋体" w:hAnsi="宋体" w:cs="宋体"/>
                <w:sz w:val="24"/>
              </w:rPr>
            </w:r>
            <w:r/>
          </w:p>
        </w:tc>
        <w:tc>
          <w:tcPr>
            <w:tcMar>
              <w:left w:w="15" w:type="dxa"/>
              <w:top w:w="15" w:type="dxa"/>
              <w:right w:w="15" w:type="dxa"/>
              <w:bottom w:w="0" w:type="dxa"/>
            </w:tcMar>
            <w:tcW w:w="669" w:type="dxa"/>
            <w:vAlign w:val="bottom"/>
            <w:textDirection w:val="lrTb"/>
            <w:noWrap w:val="false"/>
          </w:tcPr>
          <w:p>
            <w:pPr>
              <w:jc w:val="center"/>
              <w:rPr>
                <w:rFonts w:ascii="宋体" w:hAnsi="宋体" w:cs="宋体"/>
                <w:sz w:val="24"/>
              </w:rPr>
            </w:pPr>
            <w:r>
              <w:rPr>
                <w:rFonts w:ascii="宋体" w:hAnsi="宋体" w:cs="宋体"/>
                <w:sz w:val="24"/>
              </w:rPr>
            </w:r>
            <w:r/>
          </w:p>
        </w:tc>
        <w:tc>
          <w:tcPr>
            <w:tcMar>
              <w:left w:w="15" w:type="dxa"/>
              <w:top w:w="15" w:type="dxa"/>
              <w:right w:w="15" w:type="dxa"/>
              <w:bottom w:w="0" w:type="dxa"/>
            </w:tcMar>
            <w:tcW w:w="681" w:type="dxa"/>
            <w:vAlign w:val="bottom"/>
            <w:textDirection w:val="lrTb"/>
            <w:noWrap w:val="false"/>
          </w:tcPr>
          <w:p>
            <w:pPr>
              <w:jc w:val="center"/>
              <w:rPr>
                <w:rFonts w:ascii="宋体" w:hAnsi="宋体" w:cs="宋体"/>
                <w:sz w:val="24"/>
              </w:rPr>
            </w:pPr>
            <w:r>
              <w:rPr>
                <w:rFonts w:ascii="宋体" w:hAnsi="宋体" w:cs="宋体"/>
                <w:sz w:val="24"/>
              </w:rPr>
            </w:r>
            <w:r/>
          </w:p>
        </w:tc>
        <w:tc>
          <w:tcPr>
            <w:tcMar>
              <w:left w:w="15" w:type="dxa"/>
              <w:top w:w="15" w:type="dxa"/>
              <w:right w:w="15" w:type="dxa"/>
              <w:bottom w:w="0" w:type="dxa"/>
            </w:tcMar>
            <w:tcW w:w="554" w:type="dxa"/>
            <w:vAlign w:val="bottom"/>
            <w:textDirection w:val="lrTb"/>
            <w:noWrap w:val="false"/>
          </w:tcPr>
          <w:p>
            <w:pPr>
              <w:jc w:val="center"/>
              <w:rPr>
                <w:rFonts w:ascii="宋体" w:hAnsi="宋体" w:cs="宋体"/>
                <w:sz w:val="24"/>
              </w:rPr>
            </w:pPr>
            <w:r>
              <w:rPr>
                <w:rFonts w:ascii="宋体" w:hAnsi="宋体" w:cs="宋体"/>
                <w:sz w:val="24"/>
              </w:rPr>
            </w:r>
            <w:r/>
          </w:p>
        </w:tc>
        <w:tc>
          <w:tcPr>
            <w:tcMar>
              <w:left w:w="15" w:type="dxa"/>
              <w:top w:w="15" w:type="dxa"/>
              <w:right w:w="15" w:type="dxa"/>
              <w:bottom w:w="0" w:type="dxa"/>
            </w:tcMar>
            <w:tcW w:w="531" w:type="dxa"/>
            <w:vAlign w:val="bottom"/>
            <w:textDirection w:val="lrTb"/>
            <w:noWrap w:val="false"/>
          </w:tcPr>
          <w:p>
            <w:pPr>
              <w:jc w:val="center"/>
              <w:rPr>
                <w:rFonts w:ascii="宋体" w:hAnsi="宋体" w:cs="宋体"/>
                <w:sz w:val="24"/>
              </w:rPr>
            </w:pPr>
            <w:r>
              <w:rPr>
                <w:rFonts w:ascii="宋体" w:hAnsi="宋体" w:cs="宋体"/>
                <w:sz w:val="24"/>
              </w:rPr>
            </w:r>
            <w:r/>
          </w:p>
        </w:tc>
        <w:tc>
          <w:tcPr>
            <w:tcW w:w="831" w:type="dxa"/>
            <w:textDirection w:val="lrTb"/>
            <w:noWrap w:val="false"/>
          </w:tcPr>
          <w:p>
            <w:pPr>
              <w:jc w:val="center"/>
              <w:rPr>
                <w:rFonts w:ascii="宋体" w:hAnsi="宋体" w:cs="宋体"/>
                <w:sz w:val="24"/>
              </w:rPr>
            </w:pPr>
            <w:r>
              <w:rPr>
                <w:rFonts w:ascii="宋体" w:hAnsi="宋体" w:cs="宋体"/>
                <w:sz w:val="24"/>
              </w:rPr>
            </w:r>
            <w:r/>
          </w:p>
        </w:tc>
        <w:tc>
          <w:tcPr>
            <w:tcMar>
              <w:left w:w="15" w:type="dxa"/>
              <w:top w:w="15" w:type="dxa"/>
              <w:right w:w="15" w:type="dxa"/>
              <w:bottom w:w="0" w:type="dxa"/>
            </w:tcMar>
            <w:tcW w:w="778" w:type="dxa"/>
            <w:vAlign w:val="bottom"/>
            <w:textDirection w:val="lrTb"/>
            <w:noWrap w:val="false"/>
          </w:tcPr>
          <w:p>
            <w:pPr>
              <w:jc w:val="center"/>
              <w:rPr>
                <w:rFonts w:ascii="宋体" w:hAnsi="宋体" w:cs="宋体"/>
                <w:sz w:val="24"/>
              </w:rPr>
            </w:pPr>
            <w:r>
              <w:rPr>
                <w:rFonts w:ascii="宋体" w:hAnsi="宋体" w:cs="宋体"/>
                <w:sz w:val="24"/>
              </w:rPr>
            </w:r>
            <w:r/>
          </w:p>
        </w:tc>
      </w:tr>
      <w:tr>
        <w:trPr>
          <w:jc w:val="center"/>
          <w:trHeight w:val="499"/>
        </w:trPr>
        <w:tc>
          <w:tcPr>
            <w:gridSpan w:val="4"/>
            <w:tcMar>
              <w:left w:w="15" w:type="dxa"/>
              <w:top w:w="15" w:type="dxa"/>
              <w:right w:w="15" w:type="dxa"/>
              <w:bottom w:w="0" w:type="dxa"/>
            </w:tcMar>
            <w:tcW w:w="3526" w:type="dxa"/>
            <w:vAlign w:val="bottom"/>
            <w:textDirection w:val="lrTb"/>
            <w:noWrap w:val="false"/>
          </w:tcPr>
          <w:p>
            <w:pPr>
              <w:jc w:val="center"/>
              <w:rPr>
                <w:rFonts w:ascii="宋体" w:hAnsi="宋体" w:cs="宋体"/>
                <w:sz w:val="24"/>
              </w:rPr>
            </w:pPr>
            <w:r>
              <w:rPr>
                <w:rFonts w:hint="eastAsia" w:ascii="宋体" w:hAnsi="宋体" w:cs="宋体"/>
                <w:sz w:val="24"/>
              </w:rPr>
              <w:t xml:space="preserve">总价合计（即《开标一览表》中的“总价”）</w:t>
            </w:r>
            <w:r/>
          </w:p>
        </w:tc>
        <w:tc>
          <w:tcPr>
            <w:gridSpan w:val="7"/>
            <w:tcW w:w="7021" w:type="dxa"/>
            <w:textDirection w:val="lrTb"/>
            <w:noWrap w:val="false"/>
          </w:tcPr>
          <w:p>
            <w:pPr>
              <w:jc w:val="center"/>
              <w:rPr>
                <w:rFonts w:ascii="宋体" w:hAnsi="宋体" w:cs="宋体"/>
                <w:sz w:val="24"/>
              </w:rPr>
            </w:pPr>
            <w:r>
              <w:rPr>
                <w:rFonts w:ascii="宋体" w:hAnsi="宋体" w:cs="宋体"/>
                <w:sz w:val="24"/>
              </w:rPr>
            </w:r>
            <w:r/>
          </w:p>
        </w:tc>
      </w:tr>
    </w:tbl>
    <w:p>
      <w:pPr>
        <w:rPr>
          <w:rFonts w:ascii="宋体" w:hAnsi="宋体" w:cs="宋体"/>
          <w:sz w:val="24"/>
        </w:rPr>
      </w:pPr>
      <w:r>
        <w:rPr>
          <w:rFonts w:ascii="宋体" w:hAnsi="宋体" w:cs="宋体"/>
          <w:sz w:val="24"/>
        </w:rPr>
      </w:r>
      <w:r/>
    </w:p>
    <w:p>
      <w:pPr>
        <w:ind w:firstLine="3640"/>
        <w:spacing w:line="300" w:lineRule="auto"/>
        <w:rPr>
          <w:rFonts w:ascii="宋体" w:hAnsi="宋体" w:cs="宋体"/>
          <w:sz w:val="24"/>
        </w:rPr>
      </w:pPr>
      <w:r>
        <w:rPr>
          <w:rFonts w:hint="eastAsia" w:ascii="宋体" w:hAnsi="宋体" w:cs="宋体"/>
          <w:sz w:val="24"/>
        </w:rPr>
        <w:t xml:space="preserve">投标人：</w:t>
      </w:r>
      <w:r>
        <w:rPr>
          <w:rFonts w:hint="eastAsia" w:ascii="宋体" w:hAnsi="宋体" w:cs="宋体"/>
          <w:sz w:val="24"/>
          <w:u w:val="single"/>
        </w:rPr>
        <w:t xml:space="preserve">     </w:t>
      </w:r>
      <w:r>
        <w:rPr>
          <w:rFonts w:hint="eastAsia" w:ascii="宋体" w:hAnsi="宋体" w:cs="宋体"/>
          <w:sz w:val="24"/>
        </w:rPr>
        <w:t xml:space="preserve">（电子签章）</w:t>
      </w:r>
      <w:r/>
    </w:p>
    <w:p>
      <w:pPr>
        <w:ind w:firstLine="3640"/>
        <w:spacing w:line="360" w:lineRule="auto"/>
        <w:rPr>
          <w:rFonts w:ascii="宋体" w:hAnsi="宋体" w:cs="宋体"/>
          <w:sz w:val="24"/>
        </w:rPr>
      </w:pPr>
      <w:r>
        <w:rPr>
          <w:rFonts w:ascii="宋体" w:hAnsi="宋体" w:cs="宋体"/>
          <w:sz w:val="24"/>
        </w:rPr>
      </w:r>
      <w:r/>
    </w:p>
    <w:p>
      <w:pPr>
        <w:ind w:firstLine="3640"/>
        <w:spacing w:line="360" w:lineRule="auto"/>
        <w:rPr>
          <w:rFonts w:ascii="宋体" w:hAnsi="宋体" w:cs="宋体"/>
          <w:sz w:val="24"/>
        </w:rPr>
      </w:pPr>
      <w:r>
        <w:rPr>
          <w:rFonts w:hint="eastAsia" w:ascii="宋体" w:hAnsi="宋体" w:cs="宋体"/>
          <w:sz w:val="24"/>
        </w:rPr>
        <w:t xml:space="preserve">日期：   年  月  日</w:t>
      </w:r>
      <w:r/>
    </w:p>
    <w:p>
      <w:pPr>
        <w:rPr>
          <w:rFonts w:ascii="宋体" w:hAnsi="宋体" w:cs="宋体"/>
          <w:b/>
          <w:bCs/>
          <w:sz w:val="24"/>
        </w:rPr>
      </w:pPr>
      <w:r>
        <w:rPr>
          <w:rFonts w:hint="eastAsia" w:ascii="宋体" w:hAnsi="宋体" w:cs="宋体"/>
          <w:b/>
          <w:bCs/>
          <w:sz w:val="24"/>
        </w:rPr>
        <w:t xml:space="preserve">说明：</w:t>
      </w:r>
      <w:r/>
    </w:p>
    <w:p>
      <w:pPr>
        <w:jc w:val="left"/>
        <w:widowControl/>
        <w:rPr>
          <w:rFonts w:ascii="宋体" w:hAnsi="宋体" w:cs="宋体"/>
          <w:sz w:val="24"/>
        </w:rPr>
      </w:pPr>
      <w:r>
        <w:rPr>
          <w:rFonts w:hint="eastAsia" w:ascii="宋体" w:hAnsi="宋体" w:cs="宋体"/>
          <w:b/>
          <w:bCs/>
          <w:sz w:val="24"/>
        </w:rPr>
        <w:t xml:space="preserve">1、本表中“产品制造企业的划分”以《政府采购促进中小企业发展管理办法》（财库〔2020〕46号）</w:t>
      </w:r>
      <w:r>
        <w:rPr>
          <w:rFonts w:hint="eastAsia" w:ascii="宋体" w:hAnsi="宋体" w:cs="宋体"/>
          <w:sz w:val="24"/>
        </w:rPr>
        <w:t xml:space="preserve">和《工业和信息化部、国家统计局、国家发展和改革委员会、财政部关于印发中小企业划型标准规定的通知》（工信部联企业〔2011〕300号）的规定为准。</w:t>
      </w:r>
      <w:r/>
    </w:p>
    <w:p>
      <w:pPr>
        <w:jc w:val="left"/>
        <w:widowControl/>
        <w:rPr>
          <w:rFonts w:ascii="宋体" w:hAnsi="宋体" w:cs="宋体"/>
          <w:sz w:val="24"/>
        </w:rPr>
      </w:pPr>
      <w:r>
        <w:rPr>
          <w:rFonts w:hint="eastAsia" w:ascii="宋体" w:hAnsi="宋体" w:cs="宋体"/>
          <w:sz w:val="24"/>
        </w:rPr>
        <w:t xml:space="preserve">2、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具体以《财政部 司法部关于政府采购支持监狱企业发展有关问题的通知》（财库〔2014〕68号）的规定为准。</w:t>
      </w:r>
      <w:r/>
    </w:p>
    <w:p>
      <w:pPr>
        <w:jc w:val="left"/>
        <w:widowControl/>
        <w:rPr>
          <w:rFonts w:ascii="宋体" w:hAnsi="宋体" w:cs="宋体"/>
          <w:sz w:val="24"/>
        </w:rPr>
      </w:pPr>
      <w:r>
        <w:rPr>
          <w:rFonts w:hint="eastAsia" w:ascii="宋体" w:hAnsi="宋体" w:cs="宋体"/>
          <w:sz w:val="24"/>
        </w:rPr>
        <w:t xml:space="preserve">　　3、享受政府采购支持政策的残疾人福利性单位的条件以《三部门联合发布关于促进残疾人就业政府采购政策的通知》（财库〔2017〕141号）规定为准。</w:t>
      </w:r>
      <w:r/>
    </w:p>
    <w:p>
      <w:pPr>
        <w:ind w:firstLine="560"/>
        <w:jc w:val="left"/>
        <w:widowControl/>
        <w:rPr>
          <w:rFonts w:ascii="宋体" w:hAnsi="宋体" w:cs="宋体"/>
          <w:sz w:val="24"/>
        </w:rPr>
      </w:pPr>
      <w:r>
        <w:rPr>
          <w:rFonts w:ascii="宋体" w:hAnsi="宋体" w:cs="宋体"/>
          <w:sz w:val="24"/>
        </w:rPr>
      </w:r>
      <w:r/>
    </w:p>
    <w:p>
      <w:pPr>
        <w:jc w:val="left"/>
        <w:widowControl/>
        <w:rPr>
          <w:rFonts w:ascii="宋体" w:hAnsi="宋体" w:cs="宋体"/>
          <w:sz w:val="24"/>
        </w:rPr>
      </w:pPr>
      <w:r>
        <w:rPr>
          <w:rFonts w:hint="eastAsia" w:ascii="宋体" w:hAnsi="宋体" w:cs="宋体"/>
          <w:sz w:val="24"/>
        </w:rPr>
        <w:t xml:space="preserve">注：1、如果不提供详细分项报价将视为没有实质性响应招标文件。</w:t>
      </w:r>
      <w:r/>
    </w:p>
    <w:p>
      <w:pPr>
        <w:ind w:firstLine="560"/>
        <w:jc w:val="left"/>
        <w:widowControl/>
        <w:rPr>
          <w:rFonts w:ascii="宋体" w:hAnsi="宋体" w:cs="宋体"/>
          <w:sz w:val="24"/>
        </w:rPr>
      </w:pPr>
      <w:r>
        <w:rPr>
          <w:rFonts w:hint="eastAsia" w:ascii="宋体" w:hAnsi="宋体" w:cs="宋体"/>
          <w:sz w:val="24"/>
        </w:rPr>
        <w:t xml:space="preserve">2、投标人对以上数据的真实性负责。</w:t>
      </w:r>
      <w:r/>
    </w:p>
    <w:p>
      <w:pPr>
        <w:ind w:firstLine="562"/>
        <w:jc w:val="left"/>
        <w:widowControl/>
        <w:rPr>
          <w:rFonts w:ascii="宋体" w:hAnsi="宋体" w:cs="宋体"/>
          <w:b/>
          <w:bCs/>
          <w:sz w:val="24"/>
        </w:rPr>
      </w:pPr>
      <w:r>
        <w:rPr>
          <w:rFonts w:hint="eastAsia" w:ascii="宋体" w:hAnsi="宋体" w:cs="宋体"/>
          <w:b/>
          <w:bCs/>
          <w:sz w:val="24"/>
        </w:rPr>
        <w:t xml:space="preserve">采购人或采购代理机构有权将以上内容进行公示。</w:t>
      </w:r>
      <w:r/>
    </w:p>
    <w:p>
      <w:pPr>
        <w:ind w:firstLine="560"/>
        <w:jc w:val="center"/>
        <w:spacing w:line="479" w:lineRule="atLeast"/>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rPr>
        <w:br w:type="page" w:clear="all"/>
      </w:r>
      <w:r/>
    </w:p>
    <w:p>
      <w:pPr>
        <w:jc w:val="center"/>
        <w:spacing w:line="479" w:lineRule="atLeast"/>
        <w:rPr>
          <w:rFonts w:ascii="宋体" w:hAnsi="宋体" w:cs="宋体"/>
          <w:b/>
          <w:bCs/>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b/>
          <w:bCs/>
          <w:sz w:val="28"/>
          <w:szCs w:val="28"/>
        </w:rPr>
        <w:t xml:space="preserve">四、偏离表格式</w:t>
      </w:r>
      <w:r/>
    </w:p>
    <w:p>
      <w:pPr>
        <w:spacing w:line="479" w:lineRule="atLeast"/>
        <w:rPr>
          <w:rFonts w:hint="eastAsia" w:ascii="宋体" w:hAnsi="宋体" w:eastAsia="宋体" w:cs="宋体"/>
          <w:sz w:val="24"/>
          <w:lang w:eastAsia="zh-CN"/>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项目编号：</w:t>
      </w:r>
      <w:r>
        <w:rPr>
          <w:rFonts w:hint="eastAsia" w:ascii="宋体" w:hAnsi="宋体" w:cs="宋体"/>
          <w:sz w:val="24"/>
          <w:lang w:eastAsia="zh-CN"/>
        </w:rPr>
        <w:t xml:space="preserve">JSZC-320300-JSZR-G2025-0124</w:t>
      </w:r>
      <w:r/>
    </w:p>
    <w:p>
      <w:pPr>
        <w:spacing w:line="479" w:lineRule="atLeas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项目名称：徐州市第一人民医院口服药单剂量分包机</w:t>
      </w:r>
      <w:r/>
    </w:p>
    <w:p>
      <w:pPr>
        <w:spacing w:line="479" w:lineRule="atLeast"/>
        <w:rPr>
          <w:rFonts w:ascii="宋体" w:hAnsi="宋体" w:cs="宋体"/>
          <w:sz w:val="24"/>
        </w:rPr>
        <w:pBdr>
          <w:top w:val="none" w:color="000000" w:sz="0" w:space="0"/>
          <w:left w:val="none" w:color="000000" w:sz="0" w:space="0"/>
          <w:bottom w:val="none" w:color="000000" w:sz="0" w:space="0"/>
          <w:right w:val="none" w:color="000000" w:sz="0" w:space="0"/>
        </w:pBdr>
      </w:pPr>
      <w:r>
        <w:rPr>
          <w:rFonts w:ascii="宋体" w:hAnsi="宋体" w:cs="宋体"/>
          <w:sz w:val="24"/>
        </w:rPr>
      </w:r>
      <w:r/>
    </w:p>
    <w:tbl>
      <w:tblPr>
        <w:tblStyle w:val="802"/>
        <w:tblW w:w="10192" w:type="dxa"/>
        <w:tblInd w:w="-48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44"/>
        <w:gridCol w:w="1513"/>
        <w:gridCol w:w="1513"/>
        <w:gridCol w:w="1515"/>
        <w:gridCol w:w="1830"/>
        <w:gridCol w:w="1380"/>
        <w:gridCol w:w="1597"/>
      </w:tblGrid>
      <w:tr>
        <w:trPr>
          <w:trHeight w:val="794"/>
        </w:trPr>
        <w:tc>
          <w:tcPr>
            <w:tcMar>
              <w:left w:w="108" w:type="dxa"/>
              <w:top w:w="0" w:type="dxa"/>
              <w:right w:w="108" w:type="dxa"/>
              <w:bottom w:w="0" w:type="dxa"/>
            </w:tcMar>
            <w:tcW w:w="844" w:type="dxa"/>
            <w:vAlign w:val="center"/>
            <w:textDirection w:val="lrTb"/>
            <w:noWrap w:val="false"/>
          </w:tcPr>
          <w:p>
            <w:pPr>
              <w:jc w:val="center"/>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序号</w:t>
            </w:r>
            <w:r/>
          </w:p>
        </w:tc>
        <w:tc>
          <w:tcPr>
            <w:tcMar>
              <w:left w:w="108" w:type="dxa"/>
              <w:top w:w="0" w:type="dxa"/>
              <w:right w:w="108" w:type="dxa"/>
              <w:bottom w:w="0" w:type="dxa"/>
            </w:tcMar>
            <w:tcW w:w="1513" w:type="dxa"/>
            <w:vAlign w:val="center"/>
            <w:textDirection w:val="lrTb"/>
            <w:noWrap w:val="false"/>
          </w:tcPr>
          <w:p>
            <w:pPr>
              <w:jc w:val="center"/>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名称</w:t>
            </w:r>
            <w:r/>
          </w:p>
        </w:tc>
        <w:tc>
          <w:tcPr>
            <w:tcMar>
              <w:left w:w="108" w:type="dxa"/>
              <w:top w:w="0" w:type="dxa"/>
              <w:right w:w="108" w:type="dxa"/>
              <w:bottom w:w="0" w:type="dxa"/>
            </w:tcMar>
            <w:tcW w:w="1513" w:type="dxa"/>
            <w:vAlign w:val="center"/>
            <w:textDirection w:val="lrTb"/>
            <w:noWrap w:val="false"/>
          </w:tcPr>
          <w:p>
            <w:pPr>
              <w:jc w:val="center"/>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偏离内容</w:t>
            </w:r>
            <w:r/>
          </w:p>
        </w:tc>
        <w:tc>
          <w:tcPr>
            <w:tcMar>
              <w:left w:w="108" w:type="dxa"/>
              <w:top w:w="0" w:type="dxa"/>
              <w:right w:w="108" w:type="dxa"/>
              <w:bottom w:w="0" w:type="dxa"/>
            </w:tcMar>
            <w:tcW w:w="1515" w:type="dxa"/>
            <w:vAlign w:val="center"/>
            <w:textDirection w:val="lrTb"/>
            <w:noWrap w:val="false"/>
          </w:tcPr>
          <w:p>
            <w:pPr>
              <w:jc w:val="center"/>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招标文件的要求</w:t>
            </w:r>
            <w:r/>
          </w:p>
        </w:tc>
        <w:tc>
          <w:tcPr>
            <w:tcMar>
              <w:left w:w="108" w:type="dxa"/>
              <w:top w:w="0" w:type="dxa"/>
              <w:right w:w="108" w:type="dxa"/>
              <w:bottom w:w="0" w:type="dxa"/>
            </w:tcMar>
            <w:tcW w:w="1830" w:type="dxa"/>
            <w:vAlign w:val="center"/>
            <w:textDirection w:val="lrTb"/>
            <w:noWrap w:val="false"/>
          </w:tcPr>
          <w:p>
            <w:pPr>
              <w:jc w:val="center"/>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投标文件中的内容</w:t>
            </w:r>
            <w:r/>
          </w:p>
        </w:tc>
        <w:tc>
          <w:tcPr>
            <w:tcMar>
              <w:left w:w="108" w:type="dxa"/>
              <w:top w:w="0" w:type="dxa"/>
              <w:right w:w="108" w:type="dxa"/>
              <w:bottom w:w="0" w:type="dxa"/>
            </w:tcMar>
            <w:tcW w:w="1380" w:type="dxa"/>
            <w:vAlign w:val="center"/>
            <w:textDirection w:val="lrTb"/>
            <w:noWrap w:val="false"/>
          </w:tcPr>
          <w:p>
            <w:pPr>
              <w:jc w:val="center"/>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（正/负/无）偏离</w:t>
            </w:r>
            <w:r/>
          </w:p>
        </w:tc>
        <w:tc>
          <w:tcPr>
            <w:tcMar>
              <w:left w:w="108" w:type="dxa"/>
              <w:top w:w="0" w:type="dxa"/>
              <w:right w:w="108" w:type="dxa"/>
              <w:bottom w:w="0" w:type="dxa"/>
            </w:tcMar>
            <w:tcW w:w="1597" w:type="dxa"/>
            <w:vAlign w:val="center"/>
            <w:textDirection w:val="lrTb"/>
            <w:noWrap w:val="false"/>
          </w:tcPr>
          <w:p>
            <w:pPr>
              <w:jc w:val="center"/>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说明</w:t>
            </w:r>
            <w:r/>
          </w:p>
        </w:tc>
      </w:tr>
      <w:tr>
        <w:trPr>
          <w:trHeight w:val="794"/>
        </w:trPr>
        <w:tc>
          <w:tcPr>
            <w:tcMar>
              <w:left w:w="108" w:type="dxa"/>
              <w:top w:w="0" w:type="dxa"/>
              <w:right w:w="108" w:type="dxa"/>
              <w:bottom w:w="0" w:type="dxa"/>
            </w:tcMar>
            <w:tcW w:w="844" w:type="dxa"/>
            <w:textDirection w:val="lrTb"/>
            <w:noWrap w:val="false"/>
          </w:tcPr>
          <w:p>
            <w:pPr>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 </w:t>
            </w:r>
            <w:r/>
          </w:p>
        </w:tc>
        <w:tc>
          <w:tcPr>
            <w:tcMar>
              <w:left w:w="108" w:type="dxa"/>
              <w:top w:w="0" w:type="dxa"/>
              <w:right w:w="108" w:type="dxa"/>
              <w:bottom w:w="0" w:type="dxa"/>
            </w:tcMar>
            <w:tcW w:w="1513" w:type="dxa"/>
            <w:textDirection w:val="lrTb"/>
            <w:noWrap w:val="false"/>
          </w:tcPr>
          <w:p>
            <w:pPr>
              <w:rPr>
                <w:rFonts w:ascii="宋体" w:hAnsi="宋体" w:cs="宋体"/>
                <w:sz w:val="24"/>
              </w:rPr>
              <w:pBdr>
                <w:top w:val="none" w:color="000000" w:sz="0" w:space="0"/>
                <w:left w:val="none" w:color="000000" w:sz="0" w:space="0"/>
                <w:bottom w:val="none" w:color="000000" w:sz="0" w:space="0"/>
                <w:right w:val="none" w:color="000000" w:sz="0" w:space="0"/>
              </w:pBdr>
            </w:pPr>
            <w:r>
              <w:rPr>
                <w:rFonts w:ascii="宋体" w:hAnsi="宋体" w:cs="宋体"/>
                <w:sz w:val="24"/>
              </w:rPr>
            </w:r>
            <w:r/>
          </w:p>
        </w:tc>
        <w:tc>
          <w:tcPr>
            <w:tcMar>
              <w:left w:w="108" w:type="dxa"/>
              <w:top w:w="0" w:type="dxa"/>
              <w:right w:w="108" w:type="dxa"/>
              <w:bottom w:w="0" w:type="dxa"/>
            </w:tcMar>
            <w:tcW w:w="1513" w:type="dxa"/>
            <w:textDirection w:val="lrTb"/>
            <w:noWrap w:val="false"/>
          </w:tcPr>
          <w:p>
            <w:pPr>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 </w:t>
            </w:r>
            <w:r/>
          </w:p>
        </w:tc>
        <w:tc>
          <w:tcPr>
            <w:tcMar>
              <w:left w:w="108" w:type="dxa"/>
              <w:top w:w="0" w:type="dxa"/>
              <w:right w:w="108" w:type="dxa"/>
              <w:bottom w:w="0" w:type="dxa"/>
            </w:tcMar>
            <w:tcW w:w="1515" w:type="dxa"/>
            <w:textDirection w:val="lrTb"/>
            <w:noWrap w:val="false"/>
          </w:tcPr>
          <w:p>
            <w:pPr>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 </w:t>
            </w:r>
            <w:r/>
          </w:p>
        </w:tc>
        <w:tc>
          <w:tcPr>
            <w:tcMar>
              <w:left w:w="108" w:type="dxa"/>
              <w:top w:w="0" w:type="dxa"/>
              <w:right w:w="108" w:type="dxa"/>
              <w:bottom w:w="0" w:type="dxa"/>
            </w:tcMar>
            <w:tcW w:w="1830" w:type="dxa"/>
            <w:textDirection w:val="lrTb"/>
            <w:noWrap w:val="false"/>
          </w:tcPr>
          <w:p>
            <w:pPr>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 </w:t>
            </w:r>
            <w:r/>
          </w:p>
        </w:tc>
        <w:tc>
          <w:tcPr>
            <w:tcMar>
              <w:left w:w="108" w:type="dxa"/>
              <w:top w:w="0" w:type="dxa"/>
              <w:right w:w="108" w:type="dxa"/>
              <w:bottom w:w="0" w:type="dxa"/>
            </w:tcMar>
            <w:tcW w:w="1380" w:type="dxa"/>
            <w:textDirection w:val="lrTb"/>
            <w:noWrap w:val="false"/>
          </w:tcPr>
          <w:p>
            <w:pPr>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 </w:t>
            </w:r>
            <w:r/>
          </w:p>
        </w:tc>
        <w:tc>
          <w:tcPr>
            <w:tcMar>
              <w:left w:w="108" w:type="dxa"/>
              <w:top w:w="0" w:type="dxa"/>
              <w:right w:w="108" w:type="dxa"/>
              <w:bottom w:w="0" w:type="dxa"/>
            </w:tcMar>
            <w:tcW w:w="1597" w:type="dxa"/>
            <w:textDirection w:val="lrTb"/>
            <w:noWrap w:val="false"/>
          </w:tcPr>
          <w:p>
            <w:pPr>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 </w:t>
            </w:r>
            <w:r/>
          </w:p>
        </w:tc>
      </w:tr>
      <w:tr>
        <w:trPr>
          <w:trHeight w:val="794"/>
        </w:trPr>
        <w:tc>
          <w:tcPr>
            <w:tcMar>
              <w:left w:w="108" w:type="dxa"/>
              <w:top w:w="0" w:type="dxa"/>
              <w:right w:w="108" w:type="dxa"/>
              <w:bottom w:w="0" w:type="dxa"/>
            </w:tcMar>
            <w:tcW w:w="844" w:type="dxa"/>
            <w:textDirection w:val="lrTb"/>
            <w:noWrap w:val="false"/>
          </w:tcPr>
          <w:p>
            <w:pPr>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 </w:t>
            </w:r>
            <w:r/>
          </w:p>
        </w:tc>
        <w:tc>
          <w:tcPr>
            <w:tcMar>
              <w:left w:w="108" w:type="dxa"/>
              <w:top w:w="0" w:type="dxa"/>
              <w:right w:w="108" w:type="dxa"/>
              <w:bottom w:w="0" w:type="dxa"/>
            </w:tcMar>
            <w:tcW w:w="1513" w:type="dxa"/>
            <w:textDirection w:val="lrTb"/>
            <w:noWrap w:val="false"/>
          </w:tcPr>
          <w:p>
            <w:pPr>
              <w:rPr>
                <w:rFonts w:ascii="宋体" w:hAnsi="宋体" w:cs="宋体"/>
                <w:sz w:val="24"/>
              </w:rPr>
              <w:pBdr>
                <w:top w:val="none" w:color="000000" w:sz="0" w:space="0"/>
                <w:left w:val="none" w:color="000000" w:sz="0" w:space="0"/>
                <w:bottom w:val="none" w:color="000000" w:sz="0" w:space="0"/>
                <w:right w:val="none" w:color="000000" w:sz="0" w:space="0"/>
              </w:pBdr>
            </w:pPr>
            <w:r>
              <w:rPr>
                <w:rFonts w:ascii="宋体" w:hAnsi="宋体" w:cs="宋体"/>
                <w:sz w:val="24"/>
              </w:rPr>
            </w:r>
            <w:r/>
          </w:p>
        </w:tc>
        <w:tc>
          <w:tcPr>
            <w:tcMar>
              <w:left w:w="108" w:type="dxa"/>
              <w:top w:w="0" w:type="dxa"/>
              <w:right w:w="108" w:type="dxa"/>
              <w:bottom w:w="0" w:type="dxa"/>
            </w:tcMar>
            <w:tcW w:w="1513" w:type="dxa"/>
            <w:textDirection w:val="lrTb"/>
            <w:noWrap w:val="false"/>
          </w:tcPr>
          <w:p>
            <w:pPr>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 </w:t>
            </w:r>
            <w:r/>
          </w:p>
        </w:tc>
        <w:tc>
          <w:tcPr>
            <w:tcMar>
              <w:left w:w="108" w:type="dxa"/>
              <w:top w:w="0" w:type="dxa"/>
              <w:right w:w="108" w:type="dxa"/>
              <w:bottom w:w="0" w:type="dxa"/>
            </w:tcMar>
            <w:tcW w:w="1515" w:type="dxa"/>
            <w:textDirection w:val="lrTb"/>
            <w:noWrap w:val="false"/>
          </w:tcPr>
          <w:p>
            <w:pPr>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 </w:t>
            </w:r>
            <w:r/>
          </w:p>
        </w:tc>
        <w:tc>
          <w:tcPr>
            <w:tcMar>
              <w:left w:w="108" w:type="dxa"/>
              <w:top w:w="0" w:type="dxa"/>
              <w:right w:w="108" w:type="dxa"/>
              <w:bottom w:w="0" w:type="dxa"/>
            </w:tcMar>
            <w:tcW w:w="1830" w:type="dxa"/>
            <w:textDirection w:val="lrTb"/>
            <w:noWrap w:val="false"/>
          </w:tcPr>
          <w:p>
            <w:pPr>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 </w:t>
            </w:r>
            <w:r/>
          </w:p>
        </w:tc>
        <w:tc>
          <w:tcPr>
            <w:tcMar>
              <w:left w:w="108" w:type="dxa"/>
              <w:top w:w="0" w:type="dxa"/>
              <w:right w:w="108" w:type="dxa"/>
              <w:bottom w:w="0" w:type="dxa"/>
            </w:tcMar>
            <w:tcW w:w="1380" w:type="dxa"/>
            <w:textDirection w:val="lrTb"/>
            <w:noWrap w:val="false"/>
          </w:tcPr>
          <w:p>
            <w:pPr>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 </w:t>
            </w:r>
            <w:r/>
          </w:p>
        </w:tc>
        <w:tc>
          <w:tcPr>
            <w:tcMar>
              <w:left w:w="108" w:type="dxa"/>
              <w:top w:w="0" w:type="dxa"/>
              <w:right w:w="108" w:type="dxa"/>
              <w:bottom w:w="0" w:type="dxa"/>
            </w:tcMar>
            <w:tcW w:w="1597" w:type="dxa"/>
            <w:textDirection w:val="lrTb"/>
            <w:noWrap w:val="false"/>
          </w:tcPr>
          <w:p>
            <w:pPr>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 </w:t>
            </w:r>
            <w:r/>
          </w:p>
        </w:tc>
      </w:tr>
      <w:tr>
        <w:trPr>
          <w:trHeight w:val="794"/>
        </w:trPr>
        <w:tc>
          <w:tcPr>
            <w:tcMar>
              <w:left w:w="108" w:type="dxa"/>
              <w:top w:w="0" w:type="dxa"/>
              <w:right w:w="108" w:type="dxa"/>
              <w:bottom w:w="0" w:type="dxa"/>
            </w:tcMar>
            <w:tcW w:w="844" w:type="dxa"/>
            <w:textDirection w:val="lrTb"/>
            <w:noWrap w:val="false"/>
          </w:tcPr>
          <w:p>
            <w:pPr>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 </w:t>
            </w:r>
            <w:r/>
          </w:p>
        </w:tc>
        <w:tc>
          <w:tcPr>
            <w:tcMar>
              <w:left w:w="108" w:type="dxa"/>
              <w:top w:w="0" w:type="dxa"/>
              <w:right w:w="108" w:type="dxa"/>
              <w:bottom w:w="0" w:type="dxa"/>
            </w:tcMar>
            <w:tcW w:w="1513" w:type="dxa"/>
            <w:textDirection w:val="lrTb"/>
            <w:noWrap w:val="false"/>
          </w:tcPr>
          <w:p>
            <w:pPr>
              <w:rPr>
                <w:rFonts w:ascii="宋体" w:hAnsi="宋体" w:cs="宋体"/>
                <w:sz w:val="24"/>
              </w:rPr>
              <w:pBdr>
                <w:top w:val="none" w:color="000000" w:sz="0" w:space="0"/>
                <w:left w:val="none" w:color="000000" w:sz="0" w:space="0"/>
                <w:bottom w:val="none" w:color="000000" w:sz="0" w:space="0"/>
                <w:right w:val="none" w:color="000000" w:sz="0" w:space="0"/>
              </w:pBdr>
            </w:pPr>
            <w:r>
              <w:rPr>
                <w:rFonts w:ascii="宋体" w:hAnsi="宋体" w:cs="宋体"/>
                <w:sz w:val="24"/>
              </w:rPr>
            </w:r>
            <w:r/>
          </w:p>
        </w:tc>
        <w:tc>
          <w:tcPr>
            <w:tcMar>
              <w:left w:w="108" w:type="dxa"/>
              <w:top w:w="0" w:type="dxa"/>
              <w:right w:w="108" w:type="dxa"/>
              <w:bottom w:w="0" w:type="dxa"/>
            </w:tcMar>
            <w:tcW w:w="1513" w:type="dxa"/>
            <w:textDirection w:val="lrTb"/>
            <w:noWrap w:val="false"/>
          </w:tcPr>
          <w:p>
            <w:pPr>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 </w:t>
            </w:r>
            <w:r/>
          </w:p>
        </w:tc>
        <w:tc>
          <w:tcPr>
            <w:tcMar>
              <w:left w:w="108" w:type="dxa"/>
              <w:top w:w="0" w:type="dxa"/>
              <w:right w:w="108" w:type="dxa"/>
              <w:bottom w:w="0" w:type="dxa"/>
            </w:tcMar>
            <w:tcW w:w="1515" w:type="dxa"/>
            <w:textDirection w:val="lrTb"/>
            <w:noWrap w:val="false"/>
          </w:tcPr>
          <w:p>
            <w:pPr>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 </w:t>
            </w:r>
            <w:r/>
          </w:p>
        </w:tc>
        <w:tc>
          <w:tcPr>
            <w:tcMar>
              <w:left w:w="108" w:type="dxa"/>
              <w:top w:w="0" w:type="dxa"/>
              <w:right w:w="108" w:type="dxa"/>
              <w:bottom w:w="0" w:type="dxa"/>
            </w:tcMar>
            <w:tcW w:w="1830" w:type="dxa"/>
            <w:textDirection w:val="lrTb"/>
            <w:noWrap w:val="false"/>
          </w:tcPr>
          <w:p>
            <w:pPr>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 </w:t>
            </w:r>
            <w:r/>
          </w:p>
        </w:tc>
        <w:tc>
          <w:tcPr>
            <w:tcMar>
              <w:left w:w="108" w:type="dxa"/>
              <w:top w:w="0" w:type="dxa"/>
              <w:right w:w="108" w:type="dxa"/>
              <w:bottom w:w="0" w:type="dxa"/>
            </w:tcMar>
            <w:tcW w:w="1380" w:type="dxa"/>
            <w:textDirection w:val="lrTb"/>
            <w:noWrap w:val="false"/>
          </w:tcPr>
          <w:p>
            <w:pPr>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 </w:t>
            </w:r>
            <w:r/>
          </w:p>
        </w:tc>
        <w:tc>
          <w:tcPr>
            <w:tcMar>
              <w:left w:w="108" w:type="dxa"/>
              <w:top w:w="0" w:type="dxa"/>
              <w:right w:w="108" w:type="dxa"/>
              <w:bottom w:w="0" w:type="dxa"/>
            </w:tcMar>
            <w:tcW w:w="1597" w:type="dxa"/>
            <w:textDirection w:val="lrTb"/>
            <w:noWrap w:val="false"/>
          </w:tcPr>
          <w:p>
            <w:pPr>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 </w:t>
            </w:r>
            <w:r/>
          </w:p>
        </w:tc>
      </w:tr>
      <w:tr>
        <w:trPr>
          <w:trHeight w:val="794"/>
        </w:trPr>
        <w:tc>
          <w:tcPr>
            <w:tcMar>
              <w:left w:w="108" w:type="dxa"/>
              <w:top w:w="0" w:type="dxa"/>
              <w:right w:w="108" w:type="dxa"/>
              <w:bottom w:w="0" w:type="dxa"/>
            </w:tcMar>
            <w:tcW w:w="844" w:type="dxa"/>
            <w:textDirection w:val="lrTb"/>
            <w:noWrap w:val="false"/>
          </w:tcPr>
          <w:p>
            <w:pPr>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 </w:t>
            </w:r>
            <w:r/>
          </w:p>
        </w:tc>
        <w:tc>
          <w:tcPr>
            <w:tcMar>
              <w:left w:w="108" w:type="dxa"/>
              <w:top w:w="0" w:type="dxa"/>
              <w:right w:w="108" w:type="dxa"/>
              <w:bottom w:w="0" w:type="dxa"/>
            </w:tcMar>
            <w:tcW w:w="1513" w:type="dxa"/>
            <w:textDirection w:val="lrTb"/>
            <w:noWrap w:val="false"/>
          </w:tcPr>
          <w:p>
            <w:pPr>
              <w:rPr>
                <w:rFonts w:ascii="宋体" w:hAnsi="宋体" w:cs="宋体"/>
                <w:sz w:val="24"/>
              </w:rPr>
              <w:pBdr>
                <w:top w:val="none" w:color="000000" w:sz="0" w:space="0"/>
                <w:left w:val="none" w:color="000000" w:sz="0" w:space="0"/>
                <w:bottom w:val="none" w:color="000000" w:sz="0" w:space="0"/>
                <w:right w:val="none" w:color="000000" w:sz="0" w:space="0"/>
              </w:pBdr>
            </w:pPr>
            <w:r>
              <w:rPr>
                <w:rFonts w:ascii="宋体" w:hAnsi="宋体" w:cs="宋体"/>
                <w:sz w:val="24"/>
              </w:rPr>
            </w:r>
            <w:r/>
          </w:p>
        </w:tc>
        <w:tc>
          <w:tcPr>
            <w:tcMar>
              <w:left w:w="108" w:type="dxa"/>
              <w:top w:w="0" w:type="dxa"/>
              <w:right w:w="108" w:type="dxa"/>
              <w:bottom w:w="0" w:type="dxa"/>
            </w:tcMar>
            <w:tcW w:w="1513" w:type="dxa"/>
            <w:textDirection w:val="lrTb"/>
            <w:noWrap w:val="false"/>
          </w:tcPr>
          <w:p>
            <w:pPr>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 </w:t>
            </w:r>
            <w:r/>
          </w:p>
        </w:tc>
        <w:tc>
          <w:tcPr>
            <w:tcMar>
              <w:left w:w="108" w:type="dxa"/>
              <w:top w:w="0" w:type="dxa"/>
              <w:right w:w="108" w:type="dxa"/>
              <w:bottom w:w="0" w:type="dxa"/>
            </w:tcMar>
            <w:tcW w:w="1515" w:type="dxa"/>
            <w:textDirection w:val="lrTb"/>
            <w:noWrap w:val="false"/>
          </w:tcPr>
          <w:p>
            <w:pPr>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 </w:t>
            </w:r>
            <w:r/>
          </w:p>
        </w:tc>
        <w:tc>
          <w:tcPr>
            <w:tcMar>
              <w:left w:w="108" w:type="dxa"/>
              <w:top w:w="0" w:type="dxa"/>
              <w:right w:w="108" w:type="dxa"/>
              <w:bottom w:w="0" w:type="dxa"/>
            </w:tcMar>
            <w:tcW w:w="1830" w:type="dxa"/>
            <w:textDirection w:val="lrTb"/>
            <w:noWrap w:val="false"/>
          </w:tcPr>
          <w:p>
            <w:pPr>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 </w:t>
            </w:r>
            <w:r/>
          </w:p>
        </w:tc>
        <w:tc>
          <w:tcPr>
            <w:tcMar>
              <w:left w:w="108" w:type="dxa"/>
              <w:top w:w="0" w:type="dxa"/>
              <w:right w:w="108" w:type="dxa"/>
              <w:bottom w:w="0" w:type="dxa"/>
            </w:tcMar>
            <w:tcW w:w="1380" w:type="dxa"/>
            <w:textDirection w:val="lrTb"/>
            <w:noWrap w:val="false"/>
          </w:tcPr>
          <w:p>
            <w:pPr>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 </w:t>
            </w:r>
            <w:r/>
          </w:p>
        </w:tc>
        <w:tc>
          <w:tcPr>
            <w:tcMar>
              <w:left w:w="108" w:type="dxa"/>
              <w:top w:w="0" w:type="dxa"/>
              <w:right w:w="108" w:type="dxa"/>
              <w:bottom w:w="0" w:type="dxa"/>
            </w:tcMar>
            <w:tcW w:w="1597" w:type="dxa"/>
            <w:textDirection w:val="lrTb"/>
            <w:noWrap w:val="false"/>
          </w:tcPr>
          <w:p>
            <w:pPr>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 </w:t>
            </w:r>
            <w:r/>
          </w:p>
        </w:tc>
      </w:tr>
      <w:tr>
        <w:trPr>
          <w:trHeight w:val="794"/>
        </w:trPr>
        <w:tc>
          <w:tcPr>
            <w:tcMar>
              <w:left w:w="108" w:type="dxa"/>
              <w:top w:w="0" w:type="dxa"/>
              <w:right w:w="108" w:type="dxa"/>
              <w:bottom w:w="0" w:type="dxa"/>
            </w:tcMar>
            <w:tcW w:w="844" w:type="dxa"/>
            <w:textDirection w:val="lrTb"/>
            <w:noWrap w:val="false"/>
          </w:tcPr>
          <w:p>
            <w:pPr>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 </w:t>
            </w:r>
            <w:r/>
          </w:p>
        </w:tc>
        <w:tc>
          <w:tcPr>
            <w:tcMar>
              <w:left w:w="108" w:type="dxa"/>
              <w:top w:w="0" w:type="dxa"/>
              <w:right w:w="108" w:type="dxa"/>
              <w:bottom w:w="0" w:type="dxa"/>
            </w:tcMar>
            <w:tcW w:w="1513" w:type="dxa"/>
            <w:textDirection w:val="lrTb"/>
            <w:noWrap w:val="false"/>
          </w:tcPr>
          <w:p>
            <w:pPr>
              <w:rPr>
                <w:rFonts w:ascii="宋体" w:hAnsi="宋体" w:cs="宋体"/>
                <w:sz w:val="24"/>
              </w:rPr>
              <w:pBdr>
                <w:top w:val="none" w:color="000000" w:sz="0" w:space="0"/>
                <w:left w:val="none" w:color="000000" w:sz="0" w:space="0"/>
                <w:bottom w:val="none" w:color="000000" w:sz="0" w:space="0"/>
                <w:right w:val="none" w:color="000000" w:sz="0" w:space="0"/>
              </w:pBdr>
            </w:pPr>
            <w:r>
              <w:rPr>
                <w:rFonts w:ascii="宋体" w:hAnsi="宋体" w:cs="宋体"/>
                <w:sz w:val="24"/>
              </w:rPr>
            </w:r>
            <w:r/>
          </w:p>
        </w:tc>
        <w:tc>
          <w:tcPr>
            <w:tcMar>
              <w:left w:w="108" w:type="dxa"/>
              <w:top w:w="0" w:type="dxa"/>
              <w:right w:w="108" w:type="dxa"/>
              <w:bottom w:w="0" w:type="dxa"/>
            </w:tcMar>
            <w:tcW w:w="1513" w:type="dxa"/>
            <w:textDirection w:val="lrTb"/>
            <w:noWrap w:val="false"/>
          </w:tcPr>
          <w:p>
            <w:pPr>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 </w:t>
            </w:r>
            <w:r/>
          </w:p>
        </w:tc>
        <w:tc>
          <w:tcPr>
            <w:tcMar>
              <w:left w:w="108" w:type="dxa"/>
              <w:top w:w="0" w:type="dxa"/>
              <w:right w:w="108" w:type="dxa"/>
              <w:bottom w:w="0" w:type="dxa"/>
            </w:tcMar>
            <w:tcW w:w="1515" w:type="dxa"/>
            <w:textDirection w:val="lrTb"/>
            <w:noWrap w:val="false"/>
          </w:tcPr>
          <w:p>
            <w:pPr>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 </w:t>
            </w:r>
            <w:r/>
          </w:p>
        </w:tc>
        <w:tc>
          <w:tcPr>
            <w:tcMar>
              <w:left w:w="108" w:type="dxa"/>
              <w:top w:w="0" w:type="dxa"/>
              <w:right w:w="108" w:type="dxa"/>
              <w:bottom w:w="0" w:type="dxa"/>
            </w:tcMar>
            <w:tcW w:w="1830" w:type="dxa"/>
            <w:textDirection w:val="lrTb"/>
            <w:noWrap w:val="false"/>
          </w:tcPr>
          <w:p>
            <w:pPr>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 </w:t>
            </w:r>
            <w:r/>
          </w:p>
        </w:tc>
        <w:tc>
          <w:tcPr>
            <w:tcMar>
              <w:left w:w="108" w:type="dxa"/>
              <w:top w:w="0" w:type="dxa"/>
              <w:right w:w="108" w:type="dxa"/>
              <w:bottom w:w="0" w:type="dxa"/>
            </w:tcMar>
            <w:tcW w:w="1380" w:type="dxa"/>
            <w:textDirection w:val="lrTb"/>
            <w:noWrap w:val="false"/>
          </w:tcPr>
          <w:p>
            <w:pPr>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 </w:t>
            </w:r>
            <w:r/>
          </w:p>
        </w:tc>
        <w:tc>
          <w:tcPr>
            <w:tcMar>
              <w:left w:w="108" w:type="dxa"/>
              <w:top w:w="0" w:type="dxa"/>
              <w:right w:w="108" w:type="dxa"/>
              <w:bottom w:w="0" w:type="dxa"/>
            </w:tcMar>
            <w:tcW w:w="1597" w:type="dxa"/>
            <w:textDirection w:val="lrTb"/>
            <w:noWrap w:val="false"/>
          </w:tcPr>
          <w:p>
            <w:pPr>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 </w:t>
            </w:r>
            <w:r/>
          </w:p>
        </w:tc>
      </w:tr>
      <w:tr>
        <w:trPr>
          <w:trHeight w:val="794"/>
        </w:trPr>
        <w:tc>
          <w:tcPr>
            <w:tcMar>
              <w:left w:w="108" w:type="dxa"/>
              <w:top w:w="0" w:type="dxa"/>
              <w:right w:w="108" w:type="dxa"/>
              <w:bottom w:w="0" w:type="dxa"/>
            </w:tcMar>
            <w:tcW w:w="844" w:type="dxa"/>
            <w:textDirection w:val="lrTb"/>
            <w:noWrap w:val="false"/>
          </w:tcPr>
          <w:p>
            <w:pPr>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 </w:t>
            </w:r>
            <w:r/>
          </w:p>
        </w:tc>
        <w:tc>
          <w:tcPr>
            <w:tcMar>
              <w:left w:w="108" w:type="dxa"/>
              <w:top w:w="0" w:type="dxa"/>
              <w:right w:w="108" w:type="dxa"/>
              <w:bottom w:w="0" w:type="dxa"/>
            </w:tcMar>
            <w:tcW w:w="1513" w:type="dxa"/>
            <w:textDirection w:val="lrTb"/>
            <w:noWrap w:val="false"/>
          </w:tcPr>
          <w:p>
            <w:pPr>
              <w:rPr>
                <w:rFonts w:ascii="宋体" w:hAnsi="宋体" w:cs="宋体"/>
                <w:sz w:val="24"/>
              </w:rPr>
              <w:pBdr>
                <w:top w:val="none" w:color="000000" w:sz="0" w:space="0"/>
                <w:left w:val="none" w:color="000000" w:sz="0" w:space="0"/>
                <w:bottom w:val="none" w:color="000000" w:sz="0" w:space="0"/>
                <w:right w:val="none" w:color="000000" w:sz="0" w:space="0"/>
              </w:pBdr>
            </w:pPr>
            <w:r>
              <w:rPr>
                <w:rFonts w:ascii="宋体" w:hAnsi="宋体" w:cs="宋体"/>
                <w:sz w:val="24"/>
              </w:rPr>
            </w:r>
            <w:r/>
          </w:p>
        </w:tc>
        <w:tc>
          <w:tcPr>
            <w:tcMar>
              <w:left w:w="108" w:type="dxa"/>
              <w:top w:w="0" w:type="dxa"/>
              <w:right w:w="108" w:type="dxa"/>
              <w:bottom w:w="0" w:type="dxa"/>
            </w:tcMar>
            <w:tcW w:w="1513" w:type="dxa"/>
            <w:textDirection w:val="lrTb"/>
            <w:noWrap w:val="false"/>
          </w:tcPr>
          <w:p>
            <w:pPr>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 </w:t>
            </w:r>
            <w:r/>
          </w:p>
        </w:tc>
        <w:tc>
          <w:tcPr>
            <w:tcMar>
              <w:left w:w="108" w:type="dxa"/>
              <w:top w:w="0" w:type="dxa"/>
              <w:right w:w="108" w:type="dxa"/>
              <w:bottom w:w="0" w:type="dxa"/>
            </w:tcMar>
            <w:tcW w:w="1515" w:type="dxa"/>
            <w:textDirection w:val="lrTb"/>
            <w:noWrap w:val="false"/>
          </w:tcPr>
          <w:p>
            <w:pPr>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 </w:t>
            </w:r>
            <w:r/>
          </w:p>
        </w:tc>
        <w:tc>
          <w:tcPr>
            <w:tcMar>
              <w:left w:w="108" w:type="dxa"/>
              <w:top w:w="0" w:type="dxa"/>
              <w:right w:w="108" w:type="dxa"/>
              <w:bottom w:w="0" w:type="dxa"/>
            </w:tcMar>
            <w:tcW w:w="1830" w:type="dxa"/>
            <w:textDirection w:val="lrTb"/>
            <w:noWrap w:val="false"/>
          </w:tcPr>
          <w:p>
            <w:pPr>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 </w:t>
            </w:r>
            <w:r/>
          </w:p>
        </w:tc>
        <w:tc>
          <w:tcPr>
            <w:tcMar>
              <w:left w:w="108" w:type="dxa"/>
              <w:top w:w="0" w:type="dxa"/>
              <w:right w:w="108" w:type="dxa"/>
              <w:bottom w:w="0" w:type="dxa"/>
            </w:tcMar>
            <w:tcW w:w="1380" w:type="dxa"/>
            <w:textDirection w:val="lrTb"/>
            <w:noWrap w:val="false"/>
          </w:tcPr>
          <w:p>
            <w:pPr>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 </w:t>
            </w:r>
            <w:r/>
          </w:p>
        </w:tc>
        <w:tc>
          <w:tcPr>
            <w:tcMar>
              <w:left w:w="108" w:type="dxa"/>
              <w:top w:w="0" w:type="dxa"/>
              <w:right w:w="108" w:type="dxa"/>
              <w:bottom w:w="0" w:type="dxa"/>
            </w:tcMar>
            <w:tcW w:w="1597" w:type="dxa"/>
            <w:textDirection w:val="lrTb"/>
            <w:noWrap w:val="false"/>
          </w:tcPr>
          <w:p>
            <w:pPr>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 </w:t>
            </w:r>
            <w:r/>
          </w:p>
        </w:tc>
      </w:tr>
      <w:tr>
        <w:trPr>
          <w:trHeight w:val="794"/>
        </w:trPr>
        <w:tc>
          <w:tcPr>
            <w:tcMar>
              <w:left w:w="108" w:type="dxa"/>
              <w:top w:w="0" w:type="dxa"/>
              <w:right w:w="108" w:type="dxa"/>
              <w:bottom w:w="0" w:type="dxa"/>
            </w:tcMar>
            <w:tcW w:w="844" w:type="dxa"/>
            <w:textDirection w:val="lrTb"/>
            <w:noWrap w:val="false"/>
          </w:tcPr>
          <w:p>
            <w:pPr>
              <w:rPr>
                <w:rFonts w:ascii="宋体" w:hAnsi="宋体" w:cs="宋体"/>
                <w:sz w:val="24"/>
              </w:rPr>
              <w:pBdr>
                <w:top w:val="none" w:color="000000" w:sz="0" w:space="0"/>
                <w:left w:val="none" w:color="000000" w:sz="0" w:space="0"/>
                <w:bottom w:val="none" w:color="000000" w:sz="0" w:space="0"/>
                <w:right w:val="none" w:color="000000" w:sz="0" w:space="0"/>
              </w:pBdr>
            </w:pPr>
            <w:r>
              <w:rPr>
                <w:rFonts w:ascii="宋体" w:hAnsi="宋体" w:cs="宋体"/>
                <w:sz w:val="24"/>
              </w:rPr>
            </w:r>
            <w:r/>
          </w:p>
        </w:tc>
        <w:tc>
          <w:tcPr>
            <w:tcMar>
              <w:left w:w="108" w:type="dxa"/>
              <w:top w:w="0" w:type="dxa"/>
              <w:right w:w="108" w:type="dxa"/>
              <w:bottom w:w="0" w:type="dxa"/>
            </w:tcMar>
            <w:tcW w:w="1513" w:type="dxa"/>
            <w:textDirection w:val="lrTb"/>
            <w:noWrap w:val="false"/>
          </w:tcPr>
          <w:p>
            <w:pPr>
              <w:rPr>
                <w:rFonts w:ascii="宋体" w:hAnsi="宋体" w:cs="宋体"/>
                <w:sz w:val="24"/>
              </w:rPr>
              <w:pBdr>
                <w:top w:val="none" w:color="000000" w:sz="0" w:space="0"/>
                <w:left w:val="none" w:color="000000" w:sz="0" w:space="0"/>
                <w:bottom w:val="none" w:color="000000" w:sz="0" w:space="0"/>
                <w:right w:val="none" w:color="000000" w:sz="0" w:space="0"/>
              </w:pBdr>
            </w:pPr>
            <w:r>
              <w:rPr>
                <w:rFonts w:ascii="宋体" w:hAnsi="宋体" w:cs="宋体"/>
                <w:sz w:val="24"/>
              </w:rPr>
            </w:r>
            <w:r/>
          </w:p>
        </w:tc>
        <w:tc>
          <w:tcPr>
            <w:tcMar>
              <w:left w:w="108" w:type="dxa"/>
              <w:top w:w="0" w:type="dxa"/>
              <w:right w:w="108" w:type="dxa"/>
              <w:bottom w:w="0" w:type="dxa"/>
            </w:tcMar>
            <w:tcW w:w="1513" w:type="dxa"/>
            <w:textDirection w:val="lrTb"/>
            <w:noWrap w:val="false"/>
          </w:tcPr>
          <w:p>
            <w:pPr>
              <w:rPr>
                <w:rFonts w:ascii="宋体" w:hAnsi="宋体" w:cs="宋体"/>
                <w:sz w:val="24"/>
              </w:rPr>
              <w:pBdr>
                <w:top w:val="none" w:color="000000" w:sz="0" w:space="0"/>
                <w:left w:val="none" w:color="000000" w:sz="0" w:space="0"/>
                <w:bottom w:val="none" w:color="000000" w:sz="0" w:space="0"/>
                <w:right w:val="none" w:color="000000" w:sz="0" w:space="0"/>
              </w:pBdr>
            </w:pPr>
            <w:r>
              <w:rPr>
                <w:rFonts w:ascii="宋体" w:hAnsi="宋体" w:cs="宋体"/>
                <w:sz w:val="24"/>
              </w:rPr>
            </w:r>
            <w:r/>
          </w:p>
        </w:tc>
        <w:tc>
          <w:tcPr>
            <w:tcMar>
              <w:left w:w="108" w:type="dxa"/>
              <w:top w:w="0" w:type="dxa"/>
              <w:right w:w="108" w:type="dxa"/>
              <w:bottom w:w="0" w:type="dxa"/>
            </w:tcMar>
            <w:tcW w:w="1515" w:type="dxa"/>
            <w:textDirection w:val="lrTb"/>
            <w:noWrap w:val="false"/>
          </w:tcPr>
          <w:p>
            <w:pPr>
              <w:rPr>
                <w:rFonts w:ascii="宋体" w:hAnsi="宋体" w:cs="宋体"/>
                <w:sz w:val="24"/>
              </w:rPr>
              <w:pBdr>
                <w:top w:val="none" w:color="000000" w:sz="0" w:space="0"/>
                <w:left w:val="none" w:color="000000" w:sz="0" w:space="0"/>
                <w:bottom w:val="none" w:color="000000" w:sz="0" w:space="0"/>
                <w:right w:val="none" w:color="000000" w:sz="0" w:space="0"/>
              </w:pBdr>
            </w:pPr>
            <w:r>
              <w:rPr>
                <w:rFonts w:ascii="宋体" w:hAnsi="宋体" w:cs="宋体"/>
                <w:sz w:val="24"/>
              </w:rPr>
            </w:r>
            <w:r/>
          </w:p>
        </w:tc>
        <w:tc>
          <w:tcPr>
            <w:tcMar>
              <w:left w:w="108" w:type="dxa"/>
              <w:top w:w="0" w:type="dxa"/>
              <w:right w:w="108" w:type="dxa"/>
              <w:bottom w:w="0" w:type="dxa"/>
            </w:tcMar>
            <w:tcW w:w="1830" w:type="dxa"/>
            <w:textDirection w:val="lrTb"/>
            <w:noWrap w:val="false"/>
          </w:tcPr>
          <w:p>
            <w:pPr>
              <w:rPr>
                <w:rFonts w:ascii="宋体" w:hAnsi="宋体" w:cs="宋体"/>
                <w:sz w:val="24"/>
              </w:rPr>
              <w:pBdr>
                <w:top w:val="none" w:color="000000" w:sz="0" w:space="0"/>
                <w:left w:val="none" w:color="000000" w:sz="0" w:space="0"/>
                <w:bottom w:val="none" w:color="000000" w:sz="0" w:space="0"/>
                <w:right w:val="none" w:color="000000" w:sz="0" w:space="0"/>
              </w:pBdr>
            </w:pPr>
            <w:r>
              <w:rPr>
                <w:rFonts w:ascii="宋体" w:hAnsi="宋体" w:cs="宋体"/>
                <w:sz w:val="24"/>
              </w:rPr>
            </w:r>
            <w:r/>
          </w:p>
        </w:tc>
        <w:tc>
          <w:tcPr>
            <w:tcMar>
              <w:left w:w="108" w:type="dxa"/>
              <w:top w:w="0" w:type="dxa"/>
              <w:right w:w="108" w:type="dxa"/>
              <w:bottom w:w="0" w:type="dxa"/>
            </w:tcMar>
            <w:tcW w:w="1380" w:type="dxa"/>
            <w:textDirection w:val="lrTb"/>
            <w:noWrap w:val="false"/>
          </w:tcPr>
          <w:p>
            <w:pPr>
              <w:rPr>
                <w:rFonts w:ascii="宋体" w:hAnsi="宋体" w:cs="宋体"/>
                <w:sz w:val="24"/>
              </w:rPr>
              <w:pBdr>
                <w:top w:val="none" w:color="000000" w:sz="0" w:space="0"/>
                <w:left w:val="none" w:color="000000" w:sz="0" w:space="0"/>
                <w:bottom w:val="none" w:color="000000" w:sz="0" w:space="0"/>
                <w:right w:val="none" w:color="000000" w:sz="0" w:space="0"/>
              </w:pBdr>
            </w:pPr>
            <w:r>
              <w:rPr>
                <w:rFonts w:ascii="宋体" w:hAnsi="宋体" w:cs="宋体"/>
                <w:sz w:val="24"/>
              </w:rPr>
            </w:r>
            <w:r/>
          </w:p>
        </w:tc>
        <w:tc>
          <w:tcPr>
            <w:tcMar>
              <w:left w:w="108" w:type="dxa"/>
              <w:top w:w="0" w:type="dxa"/>
              <w:right w:w="108" w:type="dxa"/>
              <w:bottom w:w="0" w:type="dxa"/>
            </w:tcMar>
            <w:tcW w:w="1597" w:type="dxa"/>
            <w:textDirection w:val="lrTb"/>
            <w:noWrap w:val="false"/>
          </w:tcPr>
          <w:p>
            <w:pPr>
              <w:rPr>
                <w:rFonts w:ascii="宋体" w:hAnsi="宋体" w:cs="宋体"/>
                <w:sz w:val="24"/>
              </w:rPr>
              <w:pBdr>
                <w:top w:val="none" w:color="000000" w:sz="0" w:space="0"/>
                <w:left w:val="none" w:color="000000" w:sz="0" w:space="0"/>
                <w:bottom w:val="none" w:color="000000" w:sz="0" w:space="0"/>
                <w:right w:val="none" w:color="000000" w:sz="0" w:space="0"/>
              </w:pBdr>
            </w:pPr>
            <w:r>
              <w:rPr>
                <w:rFonts w:ascii="宋体" w:hAnsi="宋体" w:cs="宋体"/>
                <w:sz w:val="24"/>
              </w:rPr>
            </w:r>
            <w:r/>
          </w:p>
        </w:tc>
      </w:tr>
      <w:tr>
        <w:trPr>
          <w:trHeight w:val="794"/>
        </w:trPr>
        <w:tc>
          <w:tcPr>
            <w:tcMar>
              <w:left w:w="108" w:type="dxa"/>
              <w:top w:w="0" w:type="dxa"/>
              <w:right w:w="108" w:type="dxa"/>
              <w:bottom w:w="0" w:type="dxa"/>
            </w:tcMar>
            <w:tcW w:w="844" w:type="dxa"/>
            <w:textDirection w:val="lrTb"/>
            <w:noWrap w:val="false"/>
          </w:tcPr>
          <w:p>
            <w:pPr>
              <w:rPr>
                <w:rFonts w:ascii="宋体" w:hAnsi="宋体" w:cs="宋体"/>
                <w:sz w:val="24"/>
              </w:rPr>
              <w:pBdr>
                <w:top w:val="none" w:color="000000" w:sz="0" w:space="0"/>
                <w:left w:val="none" w:color="000000" w:sz="0" w:space="0"/>
                <w:bottom w:val="none" w:color="000000" w:sz="0" w:space="0"/>
                <w:right w:val="none" w:color="000000" w:sz="0" w:space="0"/>
              </w:pBdr>
            </w:pPr>
            <w:r>
              <w:rPr>
                <w:rFonts w:ascii="宋体" w:hAnsi="宋体" w:cs="宋体"/>
                <w:sz w:val="24"/>
              </w:rPr>
            </w:r>
            <w:r/>
          </w:p>
        </w:tc>
        <w:tc>
          <w:tcPr>
            <w:tcMar>
              <w:left w:w="108" w:type="dxa"/>
              <w:top w:w="0" w:type="dxa"/>
              <w:right w:w="108" w:type="dxa"/>
              <w:bottom w:w="0" w:type="dxa"/>
            </w:tcMar>
            <w:tcW w:w="1513" w:type="dxa"/>
            <w:textDirection w:val="lrTb"/>
            <w:noWrap w:val="false"/>
          </w:tcPr>
          <w:p>
            <w:pPr>
              <w:rPr>
                <w:rFonts w:ascii="宋体" w:hAnsi="宋体" w:cs="宋体"/>
                <w:sz w:val="24"/>
              </w:rPr>
              <w:pBdr>
                <w:top w:val="none" w:color="000000" w:sz="0" w:space="0"/>
                <w:left w:val="none" w:color="000000" w:sz="0" w:space="0"/>
                <w:bottom w:val="none" w:color="000000" w:sz="0" w:space="0"/>
                <w:right w:val="none" w:color="000000" w:sz="0" w:space="0"/>
              </w:pBdr>
            </w:pPr>
            <w:r>
              <w:rPr>
                <w:rFonts w:ascii="宋体" w:hAnsi="宋体" w:cs="宋体"/>
                <w:sz w:val="24"/>
              </w:rPr>
            </w:r>
            <w:r/>
          </w:p>
        </w:tc>
        <w:tc>
          <w:tcPr>
            <w:tcMar>
              <w:left w:w="108" w:type="dxa"/>
              <w:top w:w="0" w:type="dxa"/>
              <w:right w:w="108" w:type="dxa"/>
              <w:bottom w:w="0" w:type="dxa"/>
            </w:tcMar>
            <w:tcW w:w="1513" w:type="dxa"/>
            <w:textDirection w:val="lrTb"/>
            <w:noWrap w:val="false"/>
          </w:tcPr>
          <w:p>
            <w:pPr>
              <w:rPr>
                <w:rFonts w:ascii="宋体" w:hAnsi="宋体" w:cs="宋体"/>
                <w:sz w:val="24"/>
              </w:rPr>
              <w:pBdr>
                <w:top w:val="none" w:color="000000" w:sz="0" w:space="0"/>
                <w:left w:val="none" w:color="000000" w:sz="0" w:space="0"/>
                <w:bottom w:val="none" w:color="000000" w:sz="0" w:space="0"/>
                <w:right w:val="none" w:color="000000" w:sz="0" w:space="0"/>
              </w:pBdr>
            </w:pPr>
            <w:r>
              <w:rPr>
                <w:rFonts w:ascii="宋体" w:hAnsi="宋体" w:cs="宋体"/>
                <w:sz w:val="24"/>
              </w:rPr>
            </w:r>
            <w:r/>
          </w:p>
        </w:tc>
        <w:tc>
          <w:tcPr>
            <w:tcMar>
              <w:left w:w="108" w:type="dxa"/>
              <w:top w:w="0" w:type="dxa"/>
              <w:right w:w="108" w:type="dxa"/>
              <w:bottom w:w="0" w:type="dxa"/>
            </w:tcMar>
            <w:tcW w:w="1515" w:type="dxa"/>
            <w:textDirection w:val="lrTb"/>
            <w:noWrap w:val="false"/>
          </w:tcPr>
          <w:p>
            <w:pPr>
              <w:rPr>
                <w:rFonts w:ascii="宋体" w:hAnsi="宋体" w:cs="宋体"/>
                <w:sz w:val="24"/>
              </w:rPr>
              <w:pBdr>
                <w:top w:val="none" w:color="000000" w:sz="0" w:space="0"/>
                <w:left w:val="none" w:color="000000" w:sz="0" w:space="0"/>
                <w:bottom w:val="none" w:color="000000" w:sz="0" w:space="0"/>
                <w:right w:val="none" w:color="000000" w:sz="0" w:space="0"/>
              </w:pBdr>
            </w:pPr>
            <w:r>
              <w:rPr>
                <w:rFonts w:ascii="宋体" w:hAnsi="宋体" w:cs="宋体"/>
                <w:sz w:val="24"/>
              </w:rPr>
            </w:r>
            <w:r/>
          </w:p>
        </w:tc>
        <w:tc>
          <w:tcPr>
            <w:tcMar>
              <w:left w:w="108" w:type="dxa"/>
              <w:top w:w="0" w:type="dxa"/>
              <w:right w:w="108" w:type="dxa"/>
              <w:bottom w:w="0" w:type="dxa"/>
            </w:tcMar>
            <w:tcW w:w="1830" w:type="dxa"/>
            <w:textDirection w:val="lrTb"/>
            <w:noWrap w:val="false"/>
          </w:tcPr>
          <w:p>
            <w:pPr>
              <w:rPr>
                <w:rFonts w:ascii="宋体" w:hAnsi="宋体" w:cs="宋体"/>
                <w:sz w:val="24"/>
              </w:rPr>
              <w:pBdr>
                <w:top w:val="none" w:color="000000" w:sz="0" w:space="0"/>
                <w:left w:val="none" w:color="000000" w:sz="0" w:space="0"/>
                <w:bottom w:val="none" w:color="000000" w:sz="0" w:space="0"/>
                <w:right w:val="none" w:color="000000" w:sz="0" w:space="0"/>
              </w:pBdr>
            </w:pPr>
            <w:r>
              <w:rPr>
                <w:rFonts w:ascii="宋体" w:hAnsi="宋体" w:cs="宋体"/>
                <w:sz w:val="24"/>
              </w:rPr>
            </w:r>
            <w:r/>
          </w:p>
        </w:tc>
        <w:tc>
          <w:tcPr>
            <w:tcMar>
              <w:left w:w="108" w:type="dxa"/>
              <w:top w:w="0" w:type="dxa"/>
              <w:right w:w="108" w:type="dxa"/>
              <w:bottom w:w="0" w:type="dxa"/>
            </w:tcMar>
            <w:tcW w:w="1380" w:type="dxa"/>
            <w:textDirection w:val="lrTb"/>
            <w:noWrap w:val="false"/>
          </w:tcPr>
          <w:p>
            <w:pPr>
              <w:rPr>
                <w:rFonts w:ascii="宋体" w:hAnsi="宋体" w:cs="宋体"/>
                <w:sz w:val="24"/>
              </w:rPr>
              <w:pBdr>
                <w:top w:val="none" w:color="000000" w:sz="0" w:space="0"/>
                <w:left w:val="none" w:color="000000" w:sz="0" w:space="0"/>
                <w:bottom w:val="none" w:color="000000" w:sz="0" w:space="0"/>
                <w:right w:val="none" w:color="000000" w:sz="0" w:space="0"/>
              </w:pBdr>
            </w:pPr>
            <w:r>
              <w:rPr>
                <w:rFonts w:ascii="宋体" w:hAnsi="宋体" w:cs="宋体"/>
                <w:sz w:val="24"/>
              </w:rPr>
            </w:r>
            <w:r/>
          </w:p>
        </w:tc>
        <w:tc>
          <w:tcPr>
            <w:tcMar>
              <w:left w:w="108" w:type="dxa"/>
              <w:top w:w="0" w:type="dxa"/>
              <w:right w:w="108" w:type="dxa"/>
              <w:bottom w:w="0" w:type="dxa"/>
            </w:tcMar>
            <w:tcW w:w="1597" w:type="dxa"/>
            <w:textDirection w:val="lrTb"/>
            <w:noWrap w:val="false"/>
          </w:tcPr>
          <w:p>
            <w:pPr>
              <w:rPr>
                <w:rFonts w:ascii="宋体" w:hAnsi="宋体" w:cs="宋体"/>
                <w:sz w:val="24"/>
              </w:rPr>
              <w:pBdr>
                <w:top w:val="none" w:color="000000" w:sz="0" w:space="0"/>
                <w:left w:val="none" w:color="000000" w:sz="0" w:space="0"/>
                <w:bottom w:val="none" w:color="000000" w:sz="0" w:space="0"/>
                <w:right w:val="none" w:color="000000" w:sz="0" w:space="0"/>
              </w:pBdr>
            </w:pPr>
            <w:r>
              <w:rPr>
                <w:rFonts w:ascii="宋体" w:hAnsi="宋体" w:cs="宋体"/>
                <w:sz w:val="24"/>
              </w:rPr>
            </w:r>
            <w:r/>
          </w:p>
        </w:tc>
      </w:tr>
      <w:tr>
        <w:trPr>
          <w:trHeight w:val="794"/>
        </w:trPr>
        <w:tc>
          <w:tcPr>
            <w:tcMar>
              <w:left w:w="108" w:type="dxa"/>
              <w:top w:w="0" w:type="dxa"/>
              <w:right w:w="108" w:type="dxa"/>
              <w:bottom w:w="0" w:type="dxa"/>
            </w:tcMar>
            <w:tcW w:w="844" w:type="dxa"/>
            <w:textDirection w:val="lrTb"/>
            <w:noWrap w:val="false"/>
          </w:tcPr>
          <w:p>
            <w:pPr>
              <w:rPr>
                <w:rFonts w:ascii="宋体" w:hAnsi="宋体" w:cs="宋体"/>
                <w:sz w:val="24"/>
              </w:rPr>
              <w:pBdr>
                <w:top w:val="none" w:color="000000" w:sz="0" w:space="0"/>
                <w:left w:val="none" w:color="000000" w:sz="0" w:space="0"/>
                <w:bottom w:val="none" w:color="000000" w:sz="0" w:space="0"/>
                <w:right w:val="none" w:color="000000" w:sz="0" w:space="0"/>
              </w:pBdr>
            </w:pPr>
            <w:r>
              <w:rPr>
                <w:rFonts w:ascii="宋体" w:hAnsi="宋体" w:cs="宋体"/>
                <w:sz w:val="24"/>
              </w:rPr>
            </w:r>
            <w:r/>
          </w:p>
        </w:tc>
        <w:tc>
          <w:tcPr>
            <w:tcMar>
              <w:left w:w="108" w:type="dxa"/>
              <w:top w:w="0" w:type="dxa"/>
              <w:right w:w="108" w:type="dxa"/>
              <w:bottom w:w="0" w:type="dxa"/>
            </w:tcMar>
            <w:tcW w:w="1513" w:type="dxa"/>
            <w:textDirection w:val="lrTb"/>
            <w:noWrap w:val="false"/>
          </w:tcPr>
          <w:p>
            <w:pPr>
              <w:rPr>
                <w:rFonts w:ascii="宋体" w:hAnsi="宋体" w:cs="宋体"/>
                <w:sz w:val="24"/>
              </w:rPr>
              <w:pBdr>
                <w:top w:val="none" w:color="000000" w:sz="0" w:space="0"/>
                <w:left w:val="none" w:color="000000" w:sz="0" w:space="0"/>
                <w:bottom w:val="none" w:color="000000" w:sz="0" w:space="0"/>
                <w:right w:val="none" w:color="000000" w:sz="0" w:space="0"/>
              </w:pBdr>
            </w:pPr>
            <w:r>
              <w:rPr>
                <w:rFonts w:ascii="宋体" w:hAnsi="宋体" w:cs="宋体"/>
                <w:sz w:val="24"/>
              </w:rPr>
            </w:r>
            <w:r/>
          </w:p>
        </w:tc>
        <w:tc>
          <w:tcPr>
            <w:tcMar>
              <w:left w:w="108" w:type="dxa"/>
              <w:top w:w="0" w:type="dxa"/>
              <w:right w:w="108" w:type="dxa"/>
              <w:bottom w:w="0" w:type="dxa"/>
            </w:tcMar>
            <w:tcW w:w="1513" w:type="dxa"/>
            <w:textDirection w:val="lrTb"/>
            <w:noWrap w:val="false"/>
          </w:tcPr>
          <w:p>
            <w:pPr>
              <w:rPr>
                <w:rFonts w:ascii="宋体" w:hAnsi="宋体" w:cs="宋体"/>
                <w:sz w:val="24"/>
              </w:rPr>
              <w:pBdr>
                <w:top w:val="none" w:color="000000" w:sz="0" w:space="0"/>
                <w:left w:val="none" w:color="000000" w:sz="0" w:space="0"/>
                <w:bottom w:val="none" w:color="000000" w:sz="0" w:space="0"/>
                <w:right w:val="none" w:color="000000" w:sz="0" w:space="0"/>
              </w:pBdr>
            </w:pPr>
            <w:r>
              <w:rPr>
                <w:rFonts w:ascii="宋体" w:hAnsi="宋体" w:cs="宋体"/>
                <w:sz w:val="24"/>
              </w:rPr>
            </w:r>
            <w:r/>
          </w:p>
        </w:tc>
        <w:tc>
          <w:tcPr>
            <w:tcMar>
              <w:left w:w="108" w:type="dxa"/>
              <w:top w:w="0" w:type="dxa"/>
              <w:right w:w="108" w:type="dxa"/>
              <w:bottom w:w="0" w:type="dxa"/>
            </w:tcMar>
            <w:tcW w:w="1515" w:type="dxa"/>
            <w:textDirection w:val="lrTb"/>
            <w:noWrap w:val="false"/>
          </w:tcPr>
          <w:p>
            <w:pPr>
              <w:rPr>
                <w:rFonts w:ascii="宋体" w:hAnsi="宋体" w:cs="宋体"/>
                <w:sz w:val="24"/>
              </w:rPr>
              <w:pBdr>
                <w:top w:val="none" w:color="000000" w:sz="0" w:space="0"/>
                <w:left w:val="none" w:color="000000" w:sz="0" w:space="0"/>
                <w:bottom w:val="none" w:color="000000" w:sz="0" w:space="0"/>
                <w:right w:val="none" w:color="000000" w:sz="0" w:space="0"/>
              </w:pBdr>
            </w:pPr>
            <w:r>
              <w:rPr>
                <w:rFonts w:ascii="宋体" w:hAnsi="宋体" w:cs="宋体"/>
                <w:sz w:val="24"/>
              </w:rPr>
            </w:r>
            <w:r/>
          </w:p>
        </w:tc>
        <w:tc>
          <w:tcPr>
            <w:tcMar>
              <w:left w:w="108" w:type="dxa"/>
              <w:top w:w="0" w:type="dxa"/>
              <w:right w:w="108" w:type="dxa"/>
              <w:bottom w:w="0" w:type="dxa"/>
            </w:tcMar>
            <w:tcW w:w="1830" w:type="dxa"/>
            <w:textDirection w:val="lrTb"/>
            <w:noWrap w:val="false"/>
          </w:tcPr>
          <w:p>
            <w:pPr>
              <w:rPr>
                <w:rFonts w:ascii="宋体" w:hAnsi="宋体" w:cs="宋体"/>
                <w:sz w:val="24"/>
              </w:rPr>
              <w:pBdr>
                <w:top w:val="none" w:color="000000" w:sz="0" w:space="0"/>
                <w:left w:val="none" w:color="000000" w:sz="0" w:space="0"/>
                <w:bottom w:val="none" w:color="000000" w:sz="0" w:space="0"/>
                <w:right w:val="none" w:color="000000" w:sz="0" w:space="0"/>
              </w:pBdr>
            </w:pPr>
            <w:r>
              <w:rPr>
                <w:rFonts w:ascii="宋体" w:hAnsi="宋体" w:cs="宋体"/>
                <w:sz w:val="24"/>
              </w:rPr>
            </w:r>
            <w:r/>
          </w:p>
        </w:tc>
        <w:tc>
          <w:tcPr>
            <w:tcMar>
              <w:left w:w="108" w:type="dxa"/>
              <w:top w:w="0" w:type="dxa"/>
              <w:right w:w="108" w:type="dxa"/>
              <w:bottom w:w="0" w:type="dxa"/>
            </w:tcMar>
            <w:tcW w:w="1380" w:type="dxa"/>
            <w:textDirection w:val="lrTb"/>
            <w:noWrap w:val="false"/>
          </w:tcPr>
          <w:p>
            <w:pPr>
              <w:rPr>
                <w:rFonts w:ascii="宋体" w:hAnsi="宋体" w:cs="宋体"/>
                <w:sz w:val="24"/>
              </w:rPr>
              <w:pBdr>
                <w:top w:val="none" w:color="000000" w:sz="0" w:space="0"/>
                <w:left w:val="none" w:color="000000" w:sz="0" w:space="0"/>
                <w:bottom w:val="none" w:color="000000" w:sz="0" w:space="0"/>
                <w:right w:val="none" w:color="000000" w:sz="0" w:space="0"/>
              </w:pBdr>
            </w:pPr>
            <w:r>
              <w:rPr>
                <w:rFonts w:ascii="宋体" w:hAnsi="宋体" w:cs="宋体"/>
                <w:sz w:val="24"/>
              </w:rPr>
            </w:r>
            <w:r/>
          </w:p>
        </w:tc>
        <w:tc>
          <w:tcPr>
            <w:tcMar>
              <w:left w:w="108" w:type="dxa"/>
              <w:top w:w="0" w:type="dxa"/>
              <w:right w:w="108" w:type="dxa"/>
              <w:bottom w:w="0" w:type="dxa"/>
            </w:tcMar>
            <w:tcW w:w="1597" w:type="dxa"/>
            <w:textDirection w:val="lrTb"/>
            <w:noWrap w:val="false"/>
          </w:tcPr>
          <w:p>
            <w:pPr>
              <w:rPr>
                <w:rFonts w:ascii="宋体" w:hAnsi="宋体" w:cs="宋体"/>
                <w:sz w:val="24"/>
              </w:rPr>
              <w:pBdr>
                <w:top w:val="none" w:color="000000" w:sz="0" w:space="0"/>
                <w:left w:val="none" w:color="000000" w:sz="0" w:space="0"/>
                <w:bottom w:val="none" w:color="000000" w:sz="0" w:space="0"/>
                <w:right w:val="none" w:color="000000" w:sz="0" w:space="0"/>
              </w:pBdr>
            </w:pPr>
            <w:r>
              <w:rPr>
                <w:rFonts w:ascii="宋体" w:hAnsi="宋体" w:cs="宋体"/>
                <w:sz w:val="24"/>
              </w:rPr>
            </w:r>
            <w:r/>
          </w:p>
        </w:tc>
      </w:tr>
    </w:tbl>
    <w:p>
      <w:pPr>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b/>
          <w:sz w:val="24"/>
        </w:rPr>
        <w:t xml:space="preserve">注</w:t>
      </w:r>
      <w:r>
        <w:rPr>
          <w:rFonts w:hint="eastAsia" w:ascii="宋体" w:hAnsi="宋体" w:cs="宋体"/>
          <w:sz w:val="24"/>
        </w:rPr>
        <w:t xml:space="preserve">：投标人的投标文件中的内容与招标文件（含招标文件的澄清或者修改的内容）的要求不同时，逐条列在偏离表中，否则将认为投标人接受招标文件的要求。</w:t>
      </w:r>
      <w:r/>
    </w:p>
    <w:p>
      <w:pPr>
        <w:ind w:firstLine="2850"/>
        <w:spacing w:line="71" w:lineRule="atLeast"/>
        <w:rPr>
          <w:rFonts w:ascii="宋体" w:hAnsi="宋体" w:cs="宋体"/>
          <w:sz w:val="24"/>
        </w:rPr>
        <w:pBdr>
          <w:top w:val="none" w:color="000000" w:sz="0" w:space="0"/>
          <w:left w:val="none" w:color="000000" w:sz="0" w:space="0"/>
          <w:bottom w:val="none" w:color="000000" w:sz="0" w:space="0"/>
          <w:right w:val="none" w:color="000000" w:sz="0" w:space="0"/>
        </w:pBdr>
      </w:pPr>
      <w:r>
        <w:rPr>
          <w:rFonts w:ascii="宋体" w:hAnsi="宋体" w:cs="宋体"/>
          <w:sz w:val="24"/>
        </w:rPr>
      </w:r>
      <w:r/>
    </w:p>
    <w:p>
      <w:pPr>
        <w:spacing w:line="71" w:lineRule="atLeas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投标人：</w:t>
      </w:r>
      <w:r>
        <w:rPr>
          <w:rFonts w:hint="eastAsia" w:ascii="宋体" w:hAnsi="宋体" w:cs="宋体"/>
          <w:sz w:val="24"/>
          <w:u w:val="single"/>
        </w:rPr>
        <w:t xml:space="preserve">           </w:t>
      </w:r>
      <w:r>
        <w:rPr>
          <w:rFonts w:hint="eastAsia" w:ascii="宋体" w:hAnsi="宋体" w:cs="宋体"/>
          <w:sz w:val="24"/>
        </w:rPr>
        <w:t xml:space="preserve">（电子签章）</w:t>
      </w:r>
      <w:r/>
    </w:p>
    <w:p>
      <w:pPr>
        <w:ind w:firstLine="3900"/>
        <w:spacing w:line="85" w:lineRule="atLeas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 </w:t>
      </w:r>
      <w:r/>
    </w:p>
    <w:p>
      <w:pPr>
        <w:spacing w:line="85" w:lineRule="atLeas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日期： 年 月 日</w:t>
      </w:r>
      <w:r/>
    </w:p>
    <w:p>
      <w:pPr>
        <w:ind w:firstLine="600"/>
        <w:spacing w:line="479" w:lineRule="atLeast"/>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30"/>
        </w:rPr>
        <w:t xml:space="preserve">  </w:t>
      </w:r>
      <w:r/>
    </w:p>
    <w:p>
      <w:pPr>
        <w:jc w:val="center"/>
        <w:spacing w:line="479" w:lineRule="atLeast"/>
        <w:rPr>
          <w:rFonts w:ascii="宋体" w:hAnsi="宋体" w:cs="宋体"/>
          <w:b/>
          <w:bCs/>
          <w:sz w:val="32"/>
          <w:szCs w:val="32"/>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3" w:bottom="1440" w:left="1803" w:header="851" w:footer="992" w:gutter="0"/>
          <w:pgNumType w:start="1"/>
          <w:cols w:num="1" w:sep="0" w:space="1701" w:equalWidth="1"/>
          <w:docGrid w:linePitch="360"/>
        </w:sectPr>
      </w:pPr>
      <w:r>
        <w:rPr>
          <w:rFonts w:ascii="宋体" w:hAnsi="宋体" w:cs="宋体"/>
          <w:b/>
          <w:bCs/>
          <w:sz w:val="32"/>
          <w:szCs w:val="32"/>
        </w:rPr>
      </w:r>
      <w:r/>
    </w:p>
    <w:p>
      <w:pPr>
        <w:jc w:val="center"/>
        <w:spacing w:line="479" w:lineRule="atLeast"/>
        <w:rPr>
          <w:rFonts w:ascii="宋体" w:hAnsi="宋体" w:cs="宋体"/>
          <w:b/>
          <w:bCs/>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b/>
          <w:bCs/>
          <w:sz w:val="28"/>
          <w:szCs w:val="28"/>
        </w:rPr>
        <w:t xml:space="preserve">五、授权委托书及法定代表人身份证明书格式</w:t>
      </w:r>
      <w:r/>
    </w:p>
    <w:p>
      <w:pPr>
        <w:rPr>
          <w:rFonts w:ascii="宋体" w:hAnsi="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sz w:val="28"/>
          <w:szCs w:val="28"/>
        </w:rPr>
        <w:t xml:space="preserve"> </w:t>
      </w:r>
      <w:r/>
    </w:p>
    <w:p>
      <w:pPr>
        <w:jc w:val="center"/>
        <w:spacing w:line="479" w:lineRule="atLeast"/>
        <w:rPr>
          <w:rFonts w:ascii="宋体" w:hAnsi="宋体" w:cs="宋体"/>
          <w:b/>
          <w:bCs/>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b/>
          <w:bCs/>
          <w:sz w:val="28"/>
          <w:szCs w:val="28"/>
        </w:rPr>
        <w:t xml:space="preserve">（一）授权委托书</w:t>
      </w:r>
      <w:r/>
    </w:p>
    <w:p>
      <w:pPr>
        <w:spacing w:line="479" w:lineRule="atLeas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委托人：</w:t>
      </w:r>
      <w:r/>
    </w:p>
    <w:p>
      <w:pPr>
        <w:spacing w:line="479" w:lineRule="atLeas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地址：</w:t>
      </w:r>
      <w:r/>
    </w:p>
    <w:p>
      <w:pPr>
        <w:spacing w:line="479" w:lineRule="atLeas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法定代表人（负责人）：               职务：</w:t>
      </w:r>
      <w:r/>
    </w:p>
    <w:p>
      <w:pPr>
        <w:spacing w:line="479" w:lineRule="atLeas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统一社会信用代码：</w:t>
      </w:r>
      <w:r/>
    </w:p>
    <w:p>
      <w:pPr>
        <w:spacing w:line="479" w:lineRule="atLeas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受托人：        性别：男（女）</w:t>
      </w:r>
      <w:r/>
    </w:p>
    <w:p>
      <w:pPr>
        <w:spacing w:line="479" w:lineRule="atLeas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年龄：  岁      民族：  族</w:t>
      </w:r>
      <w:r/>
    </w:p>
    <w:p>
      <w:pPr>
        <w:spacing w:line="479" w:lineRule="atLeas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职务：</w:t>
      </w:r>
      <w:r/>
    </w:p>
    <w:p>
      <w:pPr>
        <w:spacing w:line="479" w:lineRule="atLeas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身份证号：</w:t>
      </w:r>
      <w:r/>
    </w:p>
    <w:p>
      <w:pPr>
        <w:ind w:firstLine="600"/>
        <w:spacing w:line="479" w:lineRule="atLeas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兹委托（</w:t>
      </w:r>
      <w:r>
        <w:rPr>
          <w:rFonts w:hint="eastAsia" w:ascii="宋体" w:hAnsi="宋体" w:cs="宋体"/>
          <w:sz w:val="24"/>
          <w:u w:val="single"/>
        </w:rPr>
        <w:t xml:space="preserve">     </w:t>
      </w:r>
      <w:r>
        <w:rPr>
          <w:rFonts w:hint="eastAsia" w:ascii="宋体" w:hAnsi="宋体" w:cs="宋体"/>
          <w:sz w:val="24"/>
        </w:rPr>
        <w:t xml:space="preserve">）全权代表我企业（公司）参与（</w:t>
      </w:r>
      <w:r>
        <w:rPr>
          <w:rFonts w:hint="eastAsia" w:ascii="宋体" w:hAnsi="宋体" w:cs="宋体"/>
          <w:sz w:val="24"/>
          <w:u w:val="single"/>
        </w:rPr>
        <w:t xml:space="preserve">    </w:t>
      </w:r>
      <w:r>
        <w:rPr>
          <w:rFonts w:hint="eastAsia" w:ascii="宋体" w:hAnsi="宋体" w:cs="宋体"/>
          <w:sz w:val="24"/>
        </w:rPr>
        <w:t xml:space="preserve">）项目（项目编号：</w:t>
      </w:r>
      <w:r>
        <w:rPr>
          <w:rFonts w:hint="eastAsia" w:ascii="宋体" w:hAnsi="宋体" w:cs="宋体"/>
          <w:sz w:val="24"/>
          <w:lang w:eastAsia="zh-CN"/>
        </w:rPr>
        <w:t xml:space="preserve">JSZC-320300-JSZR-G2025-0124</w:t>
      </w:r>
      <w:r>
        <w:rPr>
          <w:rFonts w:hint="eastAsia" w:ascii="宋体" w:hAnsi="宋体" w:cs="宋体"/>
          <w:sz w:val="24"/>
        </w:rPr>
        <w:t xml:space="preserve">）的招、投标活动及签订合同。（</w:t>
      </w:r>
      <w:r>
        <w:rPr>
          <w:rFonts w:hint="eastAsia" w:ascii="宋体" w:hAnsi="宋体" w:cs="宋体"/>
          <w:sz w:val="24"/>
          <w:u w:val="single"/>
        </w:rPr>
        <w:t xml:space="preserve">    </w:t>
      </w:r>
      <w:r>
        <w:rPr>
          <w:rFonts w:hint="eastAsia" w:ascii="宋体" w:hAnsi="宋体" w:cs="宋体"/>
          <w:sz w:val="24"/>
        </w:rPr>
        <w:t xml:space="preserve">）以我企业（公司）名义所为的法律行为及签署的文件，我企业（公司）均予以认可。有关法律责任均由我企业（公司）承担。（</w:t>
      </w:r>
      <w:r>
        <w:rPr>
          <w:rFonts w:hint="eastAsia" w:ascii="宋体" w:hAnsi="宋体" w:cs="宋体"/>
          <w:sz w:val="24"/>
          <w:u w:val="single"/>
        </w:rPr>
        <w:t xml:space="preserve">     </w:t>
      </w:r>
      <w:r>
        <w:rPr>
          <w:rFonts w:hint="eastAsia" w:ascii="宋体" w:hAnsi="宋体" w:cs="宋体"/>
          <w:sz w:val="24"/>
        </w:rPr>
        <w:t xml:space="preserve">）无转委托权。</w:t>
      </w:r>
      <w:r/>
    </w:p>
    <w:p>
      <w:pPr>
        <w:ind w:firstLine="600"/>
        <w:spacing w:line="479" w:lineRule="atLeas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委托期限自</w:t>
      </w:r>
      <w:r>
        <w:rPr>
          <w:rFonts w:hint="eastAsia" w:ascii="宋体" w:hAnsi="宋体" w:cs="宋体"/>
          <w:sz w:val="24"/>
          <w:u w:val="single"/>
        </w:rPr>
        <w:t xml:space="preserve">   </w:t>
      </w:r>
      <w:r>
        <w:rPr>
          <w:rFonts w:hint="eastAsia" w:ascii="宋体" w:hAnsi="宋体" w:cs="宋体"/>
          <w:sz w:val="24"/>
        </w:rPr>
        <w:t xml:space="preserve">年</w:t>
      </w:r>
      <w:r>
        <w:rPr>
          <w:rFonts w:hint="eastAsia" w:ascii="宋体" w:hAnsi="宋体" w:cs="宋体"/>
          <w:sz w:val="24"/>
          <w:u w:val="single"/>
        </w:rPr>
        <w:t xml:space="preserve">  </w:t>
      </w:r>
      <w:r>
        <w:rPr>
          <w:rFonts w:hint="eastAsia" w:ascii="宋体" w:hAnsi="宋体" w:cs="宋体"/>
          <w:sz w:val="24"/>
        </w:rPr>
        <w:t xml:space="preserve">月</w:t>
      </w:r>
      <w:r>
        <w:rPr>
          <w:rFonts w:hint="eastAsia" w:ascii="宋体" w:hAnsi="宋体" w:cs="宋体"/>
          <w:sz w:val="24"/>
          <w:u w:val="single"/>
        </w:rPr>
        <w:t xml:space="preserve">  </w:t>
      </w:r>
      <w:r>
        <w:rPr>
          <w:rFonts w:hint="eastAsia" w:ascii="宋体" w:hAnsi="宋体" w:cs="宋体"/>
          <w:sz w:val="24"/>
        </w:rPr>
        <w:t xml:space="preserve">日起至</w:t>
      </w:r>
      <w:r>
        <w:rPr>
          <w:rFonts w:hint="eastAsia" w:ascii="宋体" w:hAnsi="宋体" w:cs="宋体"/>
          <w:sz w:val="24"/>
          <w:u w:val="single"/>
        </w:rPr>
        <w:t xml:space="preserve">  </w:t>
      </w:r>
      <w:r>
        <w:rPr>
          <w:rFonts w:hint="eastAsia" w:ascii="宋体" w:hAnsi="宋体" w:cs="宋体"/>
          <w:sz w:val="24"/>
        </w:rPr>
        <w:t xml:space="preserve">年</w:t>
      </w:r>
      <w:r>
        <w:rPr>
          <w:rFonts w:hint="eastAsia" w:ascii="宋体" w:hAnsi="宋体" w:cs="宋体"/>
          <w:sz w:val="24"/>
          <w:u w:val="single"/>
        </w:rPr>
        <w:t xml:space="preserve">  </w:t>
      </w:r>
      <w:r>
        <w:rPr>
          <w:rFonts w:hint="eastAsia" w:ascii="宋体" w:hAnsi="宋体" w:cs="宋体"/>
          <w:sz w:val="24"/>
        </w:rPr>
        <w:t xml:space="preserve">月</w:t>
      </w:r>
      <w:r>
        <w:rPr>
          <w:rFonts w:hint="eastAsia" w:ascii="宋体" w:hAnsi="宋体" w:cs="宋体"/>
          <w:sz w:val="24"/>
          <w:u w:val="single"/>
        </w:rPr>
        <w:t xml:space="preserve">  </w:t>
      </w:r>
      <w:r>
        <w:rPr>
          <w:rFonts w:hint="eastAsia" w:ascii="宋体" w:hAnsi="宋体" w:cs="宋体"/>
          <w:sz w:val="24"/>
        </w:rPr>
        <w:t xml:space="preserve">日止。</w:t>
      </w:r>
      <w:r/>
    </w:p>
    <w:p>
      <w:pPr>
        <w:ind w:firstLine="630"/>
        <w:spacing w:line="479" w:lineRule="atLeas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特此授权委托。</w:t>
      </w:r>
      <w:r/>
    </w:p>
    <w:p>
      <w:pPr>
        <w:ind w:firstLine="600"/>
        <w:spacing w:line="479" w:lineRule="atLeast"/>
        <w:rPr>
          <w:rFonts w:ascii="宋体" w:hAnsi="宋体" w:cs="宋体"/>
          <w:sz w:val="24"/>
        </w:rPr>
        <w:pBdr>
          <w:top w:val="none" w:color="000000" w:sz="0" w:space="0"/>
          <w:left w:val="none" w:color="000000" w:sz="0" w:space="0"/>
          <w:bottom w:val="none" w:color="000000" w:sz="0" w:space="0"/>
          <w:right w:val="none" w:color="000000" w:sz="0" w:space="0"/>
        </w:pBdr>
      </w:pPr>
      <w:r>
        <w:rPr>
          <w:rFonts w:ascii="宋体" w:hAnsi="宋体" w:cs="宋体"/>
          <w:sz w:val="24"/>
        </w:rPr>
      </w:r>
      <w:r/>
    </w:p>
    <w:p>
      <w:pPr>
        <w:ind w:firstLine="600"/>
        <w:spacing w:line="479" w:lineRule="atLeast"/>
        <w:rPr>
          <w:rFonts w:ascii="宋体" w:hAnsi="宋体" w:cs="宋体"/>
          <w:b/>
          <w:bCs/>
          <w:sz w:val="24"/>
        </w:rPr>
        <w:pBdr>
          <w:top w:val="none" w:color="000000" w:sz="0" w:space="0"/>
          <w:left w:val="none" w:color="000000" w:sz="0" w:space="0"/>
          <w:bottom w:val="none" w:color="000000" w:sz="0" w:space="0"/>
          <w:right w:val="none" w:color="000000" w:sz="0" w:space="0"/>
        </w:pBdr>
      </w:pPr>
      <w:r>
        <w:rPr>
          <w:rFonts w:hint="eastAsia" w:ascii="宋体" w:hAnsi="宋体" w:cs="宋体"/>
          <w:b/>
          <w:bCs/>
          <w:sz w:val="24"/>
        </w:rPr>
        <w:t xml:space="preserve">委托人（电子签章）：</w:t>
      </w:r>
      <w:r/>
    </w:p>
    <w:p>
      <w:pPr>
        <w:ind w:firstLine="600"/>
        <w:spacing w:line="479" w:lineRule="atLeast"/>
        <w:rPr>
          <w:rFonts w:ascii="宋体" w:hAnsi="宋体" w:cs="宋体"/>
          <w:sz w:val="24"/>
        </w:rPr>
        <w:pBdr>
          <w:top w:val="none" w:color="000000" w:sz="0" w:space="0"/>
          <w:left w:val="none" w:color="000000" w:sz="0" w:space="0"/>
          <w:bottom w:val="none" w:color="000000" w:sz="0" w:space="0"/>
          <w:right w:val="none" w:color="000000" w:sz="0" w:space="0"/>
        </w:pBdr>
      </w:pPr>
      <w:r>
        <w:rPr>
          <w:rFonts w:ascii="宋体" w:hAnsi="宋体" w:cs="宋体"/>
          <w:sz w:val="24"/>
        </w:rPr>
      </w:r>
      <w:r/>
    </w:p>
    <w:p>
      <w:pPr>
        <w:ind w:firstLine="600"/>
        <w:spacing w:line="479" w:lineRule="atLeast"/>
        <w:rPr>
          <w:rFonts w:ascii="宋体" w:hAnsi="宋体" w:cs="宋体"/>
          <w:b/>
          <w:bCs/>
          <w:sz w:val="24"/>
        </w:rPr>
        <w:pBdr>
          <w:top w:val="none" w:color="000000" w:sz="0" w:space="0"/>
          <w:left w:val="none" w:color="000000" w:sz="0" w:space="0"/>
          <w:bottom w:val="none" w:color="000000" w:sz="0" w:space="0"/>
          <w:right w:val="none" w:color="000000" w:sz="0" w:space="0"/>
        </w:pBdr>
      </w:pPr>
      <w:r>
        <w:rPr>
          <w:rFonts w:hint="eastAsia" w:ascii="宋体" w:hAnsi="宋体" w:cs="宋体"/>
          <w:b/>
          <w:bCs/>
          <w:sz w:val="24"/>
        </w:rPr>
        <w:t xml:space="preserve">法定代表人（负责人）（签字或盖章）： </w:t>
      </w:r>
      <w:r/>
    </w:p>
    <w:p>
      <w:pPr>
        <w:ind w:firstLine="600"/>
        <w:spacing w:line="479" w:lineRule="atLeast"/>
        <w:rPr>
          <w:rFonts w:ascii="宋体" w:hAnsi="宋体" w:cs="宋体"/>
          <w:b/>
          <w:bCs/>
          <w:sz w:val="24"/>
        </w:rPr>
        <w:pBdr>
          <w:top w:val="none" w:color="000000" w:sz="0" w:space="0"/>
          <w:left w:val="none" w:color="000000" w:sz="0" w:space="0"/>
          <w:bottom w:val="none" w:color="000000" w:sz="0" w:space="0"/>
          <w:right w:val="none" w:color="000000" w:sz="0" w:space="0"/>
        </w:pBdr>
      </w:pPr>
      <w:r>
        <w:rPr>
          <w:rFonts w:ascii="宋体" w:hAnsi="宋体" w:cs="宋体"/>
          <w:b/>
          <w:bCs/>
          <w:sz w:val="24"/>
        </w:rPr>
      </w:r>
      <w:r/>
    </w:p>
    <w:p>
      <w:pPr>
        <w:ind w:firstLine="600"/>
        <w:spacing w:line="479" w:lineRule="atLeast"/>
        <w:rPr>
          <w:rFonts w:ascii="宋体" w:hAnsi="宋体" w:cs="宋体"/>
          <w:b/>
          <w:bCs/>
          <w:sz w:val="24"/>
        </w:rPr>
        <w:pBdr>
          <w:top w:val="none" w:color="000000" w:sz="0" w:space="0"/>
          <w:left w:val="none" w:color="000000" w:sz="0" w:space="0"/>
          <w:bottom w:val="none" w:color="000000" w:sz="0" w:space="0"/>
          <w:right w:val="none" w:color="000000" w:sz="0" w:space="0"/>
        </w:pBdr>
      </w:pPr>
      <w:r>
        <w:rPr>
          <w:rFonts w:hint="eastAsia" w:ascii="宋体" w:hAnsi="宋体" w:cs="宋体"/>
          <w:b/>
          <w:bCs/>
          <w:sz w:val="24"/>
        </w:rPr>
        <w:t xml:space="preserve">受托人（签字或盖章）：</w:t>
      </w:r>
      <w:r/>
    </w:p>
    <w:p>
      <w:pPr>
        <w:ind w:firstLine="600"/>
        <w:spacing w:line="479" w:lineRule="atLeast"/>
        <w:rPr>
          <w:rFonts w:ascii="宋体" w:hAnsi="宋体" w:cs="宋体"/>
          <w:sz w:val="24"/>
        </w:rPr>
        <w:pBdr>
          <w:top w:val="none" w:color="000000" w:sz="0" w:space="0"/>
          <w:left w:val="none" w:color="000000" w:sz="0" w:space="0"/>
          <w:bottom w:val="none" w:color="000000" w:sz="0" w:space="0"/>
          <w:right w:val="none" w:color="000000" w:sz="0" w:space="0"/>
        </w:pBdr>
      </w:pPr>
      <w:r>
        <w:rPr>
          <w:rFonts w:ascii="宋体" w:hAnsi="宋体" w:cs="宋体"/>
          <w:sz w:val="24"/>
        </w:rPr>
      </w:r>
      <w:r/>
    </w:p>
    <w:p>
      <w:pPr>
        <w:pStyle w:val="864"/>
        <w:ind w:left="0" w:firstLine="602"/>
        <w:rPr>
          <w:rFonts w:ascii="宋体" w:hAnsi="宋体" w:cs="宋体"/>
          <w:sz w:val="24"/>
        </w:rPr>
      </w:pPr>
      <w:r>
        <w:rPr>
          <w:rFonts w:hint="eastAsia" w:ascii="宋体" w:hAnsi="宋体" w:cs="宋体"/>
          <w:b/>
          <w:bCs/>
          <w:sz w:val="24"/>
        </w:rPr>
        <w:t xml:space="preserve">受托人联系方式：            邮箱：</w:t>
      </w:r>
      <w:r/>
    </w:p>
    <w:p>
      <w:pPr>
        <w:ind w:right="600" w:firstLine="6150"/>
        <w:spacing w:line="479" w:lineRule="atLeast"/>
        <w:rPr>
          <w:rFonts w:ascii="宋体" w:hAnsi="宋体" w:cs="宋体"/>
          <w:b/>
          <w:bCs/>
          <w:sz w:val="24"/>
        </w:rPr>
        <w:pBdr>
          <w:top w:val="none" w:color="000000" w:sz="0" w:space="0"/>
          <w:left w:val="none" w:color="000000" w:sz="0" w:space="0"/>
          <w:bottom w:val="none" w:color="000000" w:sz="0" w:space="0"/>
          <w:right w:val="none" w:color="000000" w:sz="0" w:space="0"/>
        </w:pBdr>
      </w:pPr>
      <w:r>
        <w:rPr>
          <w:rFonts w:hint="eastAsia" w:ascii="宋体" w:hAnsi="宋体" w:cs="宋体"/>
          <w:b/>
          <w:bCs/>
          <w:sz w:val="24"/>
        </w:rPr>
        <w:t xml:space="preserve">年  月 日</w:t>
      </w:r>
      <w:r>
        <w:rPr>
          <w:rFonts w:hint="eastAsia" w:ascii="宋体" w:hAnsi="宋体" w:cs="宋体"/>
          <w:sz w:val="24"/>
        </w:rPr>
        <w:t xml:space="preserve"> </w:t>
      </w:r>
      <w:r/>
    </w:p>
    <w:p>
      <w:pPr>
        <w:spacing w:line="479" w:lineRule="atLeast"/>
        <w:rPr>
          <w:rFonts w:ascii="宋体" w:hAnsi="宋体" w:cs="宋体"/>
          <w:b/>
          <w:bCs/>
          <w:sz w:val="24"/>
        </w:rPr>
        <w:pBdr>
          <w:top w:val="none" w:color="000000" w:sz="0" w:space="0"/>
          <w:left w:val="none" w:color="000000" w:sz="0" w:space="0"/>
          <w:bottom w:val="none" w:color="000000" w:sz="0" w:space="0"/>
          <w:right w:val="none" w:color="000000" w:sz="0" w:space="0"/>
        </w:pBdr>
      </w:pPr>
      <w:r>
        <w:rPr>
          <w:rFonts w:hint="eastAsia" w:ascii="宋体" w:hAnsi="宋体" w:cs="宋体"/>
          <w:b/>
          <w:bCs/>
          <w:sz w:val="24"/>
        </w:rPr>
        <w:t xml:space="preserve">（受托人身份证扫描件附后）</w:t>
      </w:r>
      <w:r/>
    </w:p>
    <w:p>
      <w:pPr>
        <w:ind w:firstLine="4470"/>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28"/>
        </w:rPr>
        <w:t xml:space="preserve"> </w:t>
      </w:r>
      <w:r/>
    </w:p>
    <w:p>
      <w:pPr>
        <w:ind w:firstLine="600"/>
        <w:jc w:val="center"/>
        <w:spacing w:before="100" w:after="100" w:line="479" w:lineRule="atLeast"/>
        <w:rPr>
          <w:rFonts w:ascii="宋体" w:hAnsi="宋体" w:cs="宋体"/>
          <w:b/>
          <w:bCs/>
          <w:sz w:val="32"/>
          <w:szCs w:val="32"/>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3" w:bottom="1440" w:left="1803" w:header="851" w:footer="992" w:gutter="0"/>
          <w:pgNumType w:start="1"/>
          <w:cols w:num="1" w:sep="0" w:space="1701" w:equalWidth="1"/>
          <w:docGrid w:linePitch="360"/>
        </w:sectPr>
      </w:pPr>
      <w:r>
        <w:rPr>
          <w:rFonts w:ascii="宋体" w:hAnsi="宋体" w:cs="宋体"/>
          <w:b/>
          <w:bCs/>
          <w:sz w:val="32"/>
          <w:szCs w:val="32"/>
        </w:rPr>
      </w:r>
      <w:r/>
    </w:p>
    <w:p>
      <w:pPr>
        <w:jc w:val="center"/>
        <w:spacing w:before="100" w:after="100" w:line="479" w:lineRule="atLeast"/>
        <w:rPr>
          <w:rFonts w:ascii="宋体" w:hAnsi="宋体" w:cs="宋体"/>
          <w:b/>
          <w:bCs/>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b/>
          <w:bCs/>
          <w:sz w:val="28"/>
          <w:szCs w:val="28"/>
        </w:rPr>
        <w:t xml:space="preserve">（二）法定代表人身份证明书</w:t>
      </w:r>
      <w:r/>
    </w:p>
    <w:p>
      <w:pPr>
        <w:pStyle w:val="874"/>
        <w:rPr>
          <w:rFonts w:ascii="宋体" w:hAnsi="宋体" w:cs="宋体"/>
        </w:rPr>
      </w:pPr>
      <w:r>
        <w:rPr>
          <w:rFonts w:ascii="宋体" w:hAnsi="宋体" w:cs="宋体"/>
        </w:rPr>
      </w:r>
      <w:r/>
    </w:p>
    <w:p>
      <w:pPr>
        <w:pStyle w:val="836"/>
        <w:ind w:firstLine="480"/>
        <w:spacing w:line="500" w:lineRule="exact"/>
        <w:tabs>
          <w:tab w:val="left" w:pos="720" w:leader="none"/>
          <w:tab w:val="left" w:pos="900" w:leader="none"/>
        </w:tabs>
        <w:rPr>
          <w:rFonts w:ascii="宋体" w:hAnsi="宋体" w:cs="宋体"/>
          <w:sz w:val="24"/>
        </w:rPr>
      </w:pPr>
      <w:r>
        <w:rPr>
          <w:rFonts w:ascii="宋体" w:hAnsi="宋体" w:cs="宋体"/>
          <w:sz w:val="24"/>
        </w:rPr>
      </w:r>
      <w:r/>
    </w:p>
    <w:p>
      <w:pPr>
        <w:pStyle w:val="836"/>
        <w:spacing w:line="360" w:lineRule="auto"/>
        <w:tabs>
          <w:tab w:val="left" w:pos="720" w:leader="none"/>
          <w:tab w:val="left" w:pos="900" w:leader="none"/>
        </w:tabs>
        <w:rPr>
          <w:rFonts w:ascii="宋体" w:hAnsi="宋体" w:cs="宋体"/>
          <w:sz w:val="24"/>
        </w:rPr>
      </w:pPr>
      <w:r>
        <w:rPr>
          <w:rFonts w:hint="eastAsia" w:ascii="宋体" w:hAnsi="宋体" w:cs="宋体"/>
          <w:sz w:val="24"/>
        </w:rPr>
        <w:t xml:space="preserve">单位名称：</w:t>
      </w:r>
      <w:r/>
    </w:p>
    <w:p>
      <w:pPr>
        <w:pStyle w:val="836"/>
        <w:spacing w:line="360" w:lineRule="auto"/>
        <w:tabs>
          <w:tab w:val="left" w:pos="720" w:leader="none"/>
          <w:tab w:val="left" w:pos="900" w:leader="none"/>
        </w:tabs>
        <w:rPr>
          <w:rFonts w:ascii="宋体" w:hAnsi="宋体" w:cs="宋体"/>
          <w:sz w:val="24"/>
        </w:rPr>
      </w:pPr>
      <w:r>
        <w:rPr>
          <w:rFonts w:hint="eastAsia" w:ascii="宋体" w:hAnsi="宋体" w:cs="宋体"/>
          <w:sz w:val="24"/>
        </w:rPr>
        <w:t xml:space="preserve">地址：</w:t>
      </w:r>
      <w:r/>
    </w:p>
    <w:p>
      <w:pPr>
        <w:pStyle w:val="836"/>
        <w:spacing w:line="360" w:lineRule="auto"/>
        <w:tabs>
          <w:tab w:val="left" w:pos="720" w:leader="none"/>
          <w:tab w:val="left" w:pos="900" w:leader="none"/>
        </w:tabs>
        <w:rPr>
          <w:rFonts w:ascii="宋体" w:hAnsi="宋体" w:cs="宋体"/>
          <w:sz w:val="24"/>
        </w:rPr>
      </w:pPr>
      <w:r>
        <w:rPr>
          <w:rFonts w:hint="eastAsia" w:ascii="宋体" w:hAnsi="宋体" w:cs="宋体"/>
          <w:sz w:val="24"/>
        </w:rPr>
        <w:t xml:space="preserve">姓名：            性别：    </w:t>
      </w:r>
      <w:r/>
    </w:p>
    <w:p>
      <w:pPr>
        <w:pStyle w:val="836"/>
        <w:spacing w:line="360" w:lineRule="auto"/>
        <w:tabs>
          <w:tab w:val="left" w:pos="720" w:leader="none"/>
          <w:tab w:val="left" w:pos="900" w:leader="none"/>
        </w:tabs>
        <w:rPr>
          <w:rFonts w:ascii="宋体" w:hAnsi="宋体" w:cs="宋体"/>
          <w:sz w:val="24"/>
        </w:rPr>
      </w:pPr>
      <w:r>
        <w:rPr>
          <w:rFonts w:hint="eastAsia" w:ascii="宋体" w:hAnsi="宋体" w:cs="宋体"/>
          <w:sz w:val="24"/>
        </w:rPr>
        <w:t xml:space="preserve">身份证号：        职务：</w:t>
      </w:r>
      <w:r/>
    </w:p>
    <w:p>
      <w:pPr>
        <w:pStyle w:val="836"/>
        <w:ind w:firstLine="960"/>
        <w:spacing w:line="360" w:lineRule="auto"/>
        <w:rPr>
          <w:rFonts w:ascii="宋体" w:hAnsi="宋体" w:cs="宋体"/>
          <w:sz w:val="24"/>
          <w:u w:val="single"/>
        </w:rPr>
      </w:pPr>
      <w:r>
        <w:rPr>
          <w:rFonts w:ascii="宋体" w:hAnsi="宋体" w:cs="宋体"/>
          <w:sz w:val="24"/>
          <w:u w:val="single"/>
        </w:rPr>
      </w:r>
      <w:r/>
    </w:p>
    <w:p>
      <w:pPr>
        <w:pStyle w:val="836"/>
        <w:ind w:firstLine="600"/>
        <w:spacing w:line="360" w:lineRule="auto"/>
        <w:rPr>
          <w:rFonts w:ascii="宋体" w:hAnsi="宋体" w:cs="宋体"/>
          <w:sz w:val="24"/>
        </w:rPr>
      </w:pPr>
      <w:r>
        <w:rPr>
          <w:rFonts w:hint="eastAsia" w:ascii="宋体" w:hAnsi="宋体" w:cs="宋体"/>
          <w:sz w:val="24"/>
          <w:u w:val="single"/>
        </w:rPr>
        <w:t xml:space="preserve">         </w:t>
      </w:r>
      <w:r>
        <w:rPr>
          <w:rFonts w:hint="eastAsia" w:ascii="宋体" w:hAnsi="宋体" w:cs="宋体"/>
          <w:sz w:val="24"/>
        </w:rPr>
        <w:t xml:space="preserve">系我企业（公司）的法定代表人。</w:t>
      </w:r>
      <w:r/>
    </w:p>
    <w:p>
      <w:pPr>
        <w:pStyle w:val="836"/>
        <w:spacing w:line="360" w:lineRule="auto"/>
        <w:tabs>
          <w:tab w:val="left" w:pos="720" w:leader="none"/>
          <w:tab w:val="left" w:pos="900" w:leader="none"/>
        </w:tabs>
        <w:rPr>
          <w:rFonts w:ascii="宋体" w:hAnsi="宋体" w:cs="宋体"/>
          <w:sz w:val="24"/>
        </w:rPr>
      </w:pPr>
      <w:r>
        <w:rPr>
          <w:rFonts w:ascii="宋体" w:hAnsi="宋体" w:cs="宋体"/>
          <w:sz w:val="24"/>
        </w:rPr>
      </w:r>
      <w:r/>
    </w:p>
    <w:p>
      <w:pPr>
        <w:pStyle w:val="836"/>
        <w:ind w:firstLine="480"/>
        <w:spacing w:line="360" w:lineRule="auto"/>
        <w:tabs>
          <w:tab w:val="left" w:pos="720" w:leader="none"/>
          <w:tab w:val="left" w:pos="900" w:leader="none"/>
        </w:tabs>
        <w:rPr>
          <w:rFonts w:ascii="宋体" w:hAnsi="宋体" w:cs="宋体"/>
          <w:sz w:val="24"/>
        </w:rPr>
      </w:pPr>
      <w:r>
        <w:rPr>
          <w:rFonts w:hint="eastAsia" w:ascii="宋体" w:hAnsi="宋体" w:cs="宋体"/>
          <w:sz w:val="24"/>
        </w:rPr>
        <w:t xml:space="preserve">特此证明。</w:t>
      </w:r>
      <w:r/>
    </w:p>
    <w:p>
      <w:pPr>
        <w:pStyle w:val="836"/>
        <w:ind w:firstLine="480"/>
        <w:spacing w:line="360" w:lineRule="auto"/>
        <w:tabs>
          <w:tab w:val="left" w:pos="720" w:leader="none"/>
          <w:tab w:val="left" w:pos="900" w:leader="none"/>
        </w:tabs>
        <w:rPr>
          <w:rFonts w:ascii="宋体" w:hAnsi="宋体" w:cs="宋体"/>
          <w:sz w:val="24"/>
        </w:rPr>
      </w:pPr>
      <w:r>
        <w:rPr>
          <w:rFonts w:ascii="宋体" w:hAnsi="宋体" w:cs="宋体"/>
          <w:sz w:val="24"/>
        </w:rPr>
      </w:r>
      <w:r/>
    </w:p>
    <w:p>
      <w:pPr>
        <w:spacing w:line="71" w:lineRule="atLeast"/>
        <w:rPr>
          <w:rFonts w:ascii="宋体" w:hAnsi="宋体" w:cs="宋体"/>
          <w:sz w:val="24"/>
        </w:rPr>
        <w:pBdr>
          <w:top w:val="none" w:color="000000" w:sz="0" w:space="0"/>
          <w:left w:val="none" w:color="000000" w:sz="0" w:space="0"/>
          <w:bottom w:val="none" w:color="000000" w:sz="0" w:space="0"/>
          <w:right w:val="none" w:color="000000" w:sz="0" w:space="0"/>
        </w:pBdr>
      </w:pPr>
      <w:r>
        <w:rPr>
          <w:rFonts w:ascii="宋体" w:hAnsi="宋体" w:cs="宋体"/>
          <w:sz w:val="24"/>
        </w:rPr>
      </w:r>
      <w:r/>
    </w:p>
    <w:p>
      <w:pPr>
        <w:spacing w:line="71" w:lineRule="atLeas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投标人：</w:t>
      </w:r>
      <w:r>
        <w:rPr>
          <w:rFonts w:hint="eastAsia" w:ascii="宋体" w:hAnsi="宋体" w:cs="宋体"/>
          <w:sz w:val="24"/>
          <w:u w:val="single"/>
        </w:rPr>
        <w:t xml:space="preserve">           </w:t>
      </w:r>
      <w:r>
        <w:rPr>
          <w:rFonts w:hint="eastAsia" w:ascii="宋体" w:hAnsi="宋体" w:cs="宋体"/>
          <w:sz w:val="24"/>
        </w:rPr>
        <w:t xml:space="preserve">（电子签章）</w:t>
      </w:r>
      <w:r/>
    </w:p>
    <w:p>
      <w:pPr>
        <w:spacing w:line="85" w:lineRule="atLeas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 </w:t>
      </w:r>
      <w:r/>
    </w:p>
    <w:p>
      <w:pPr>
        <w:spacing w:line="85" w:lineRule="atLeas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法定代表人（签字或盖章）：</w:t>
      </w:r>
      <w:r/>
    </w:p>
    <w:p>
      <w:pPr>
        <w:spacing w:line="85" w:lineRule="atLeast"/>
        <w:rPr>
          <w:rFonts w:ascii="宋体" w:hAnsi="宋体" w:cs="宋体"/>
          <w:sz w:val="24"/>
        </w:rPr>
        <w:pBdr>
          <w:top w:val="none" w:color="000000" w:sz="0" w:space="0"/>
          <w:left w:val="none" w:color="000000" w:sz="0" w:space="0"/>
          <w:bottom w:val="none" w:color="000000" w:sz="0" w:space="0"/>
          <w:right w:val="none" w:color="000000" w:sz="0" w:space="0"/>
        </w:pBdr>
      </w:pPr>
      <w:r>
        <w:rPr>
          <w:rFonts w:ascii="宋体" w:hAnsi="宋体" w:cs="宋体"/>
          <w:sz w:val="24"/>
        </w:rPr>
      </w:r>
      <w:r/>
    </w:p>
    <w:p>
      <w:pPr>
        <w:spacing w:line="85" w:lineRule="atLeas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日期： 年 月 日</w:t>
      </w:r>
      <w:r/>
    </w:p>
    <w:p>
      <w:pPr>
        <w:pStyle w:val="836"/>
        <w:jc w:val="right"/>
        <w:spacing w:line="360" w:lineRule="auto"/>
        <w:tabs>
          <w:tab w:val="left" w:pos="720" w:leader="none"/>
          <w:tab w:val="left" w:pos="900" w:leader="none"/>
        </w:tabs>
        <w:rPr>
          <w:rFonts w:ascii="宋体" w:hAnsi="宋体" w:cs="宋体"/>
          <w:sz w:val="24"/>
        </w:rPr>
      </w:pPr>
      <w:r>
        <w:rPr>
          <w:rFonts w:ascii="宋体" w:hAnsi="宋体" w:cs="宋体"/>
          <w:sz w:val="24"/>
        </w:rPr>
      </w:r>
      <w:r/>
    </w:p>
    <w:p>
      <w:pPr>
        <w:pStyle w:val="836"/>
        <w:spacing w:line="360" w:lineRule="auto"/>
        <w:rPr>
          <w:rFonts w:ascii="宋体" w:hAnsi="宋体" w:cs="宋体"/>
          <w:sz w:val="24"/>
        </w:rPr>
      </w:pPr>
      <w:r>
        <w:rPr>
          <w:rFonts w:ascii="宋体" w:hAnsi="宋体" w:cs="宋体"/>
          <w:sz w:val="24"/>
        </w:rPr>
      </w:r>
      <w:r/>
    </w:p>
    <w:p>
      <w:pPr>
        <w:pStyle w:val="836"/>
        <w:spacing w:line="360" w:lineRule="auto"/>
        <w:tabs>
          <w:tab w:val="left" w:pos="720" w:leader="none"/>
          <w:tab w:val="left" w:pos="900" w:leader="none"/>
        </w:tabs>
        <w:rPr>
          <w:rFonts w:ascii="宋体" w:hAnsi="宋体" w:cs="宋体"/>
          <w:b/>
          <w:bCs/>
          <w:sz w:val="24"/>
        </w:rPr>
      </w:pPr>
      <w:r>
        <w:rPr>
          <w:rFonts w:hint="eastAsia" w:ascii="宋体" w:hAnsi="宋体" w:cs="宋体"/>
          <w:b/>
          <w:bCs/>
          <w:sz w:val="24"/>
        </w:rPr>
        <w:t xml:space="preserve">（法定代表人身份证原件扫描件附后）</w:t>
      </w:r>
      <w:r/>
    </w:p>
    <w:p>
      <w:pPr>
        <w:rPr>
          <w:rFonts w:ascii="宋体" w:hAnsi="宋体" w:cs="宋体"/>
          <w:b/>
          <w:bCs/>
          <w:sz w:val="24"/>
        </w:rPr>
        <w:sectPr>
          <w:footnotePr/>
          <w:endnotePr/>
          <w:type w:val="nextPage"/>
          <w:pgSz w:w="11906" w:h="16838" w:orient="portrait"/>
          <w:pgMar w:top="1440" w:right="1803" w:bottom="1440" w:left="1803" w:header="851" w:footer="992" w:gutter="0"/>
          <w:pgNumType w:start="1"/>
          <w:cols w:num="1" w:sep="0" w:space="1701" w:equalWidth="1"/>
          <w:docGrid w:linePitch="360"/>
        </w:sectPr>
      </w:pPr>
      <w:r>
        <w:rPr>
          <w:rFonts w:ascii="宋体" w:hAnsi="宋体" w:cs="宋体"/>
          <w:b/>
          <w:bCs/>
          <w:sz w:val="24"/>
        </w:rPr>
      </w:r>
      <w:r/>
    </w:p>
    <w:p>
      <w:pPr>
        <w:ind w:firstLine="600"/>
        <w:jc w:val="center"/>
        <w:spacing w:before="100" w:after="100" w:line="479" w:lineRule="atLeast"/>
        <w:rPr>
          <w:rFonts w:ascii="宋体" w:hAnsi="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b/>
          <w:bCs/>
          <w:sz w:val="28"/>
          <w:szCs w:val="28"/>
        </w:rPr>
        <w:t xml:space="preserve">六、中小企业声明函格式</w:t>
      </w:r>
      <w:r/>
    </w:p>
    <w:p>
      <w:pPr>
        <w:spacing w:before="100" w:after="100"/>
        <w:rPr>
          <w:rFonts w:hint="eastAsia" w:ascii="宋体" w:hAnsi="宋体" w:eastAsia="宋体" w:cs="宋体"/>
          <w:sz w:val="24"/>
          <w:lang w:eastAsia="zh-CN"/>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项目编号：</w:t>
      </w:r>
      <w:r>
        <w:rPr>
          <w:rFonts w:hint="eastAsia" w:ascii="宋体" w:hAnsi="宋体" w:cs="宋体"/>
          <w:sz w:val="24"/>
          <w:lang w:eastAsia="zh-CN"/>
        </w:rPr>
        <w:t xml:space="preserve">JSZC-320300-JSZR-G2025-0124</w:t>
      </w:r>
      <w:r/>
    </w:p>
    <w:p>
      <w:pPr>
        <w:spacing w:before="100" w:after="100"/>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项目名称：徐州市第一人民医院口服药单剂量分包机</w:t>
      </w:r>
      <w:r/>
    </w:p>
    <w:p>
      <w:pPr>
        <w:ind w:firstLine="480"/>
        <w:rPr>
          <w:rFonts w:ascii="宋体" w:hAnsi="宋体" w:cs="宋体"/>
          <w:sz w:val="24"/>
        </w:rPr>
      </w:pPr>
      <w:r>
        <w:rPr>
          <w:rFonts w:hint="eastAsia" w:ascii="宋体" w:hAnsi="宋体" w:cs="宋体"/>
          <w:sz w:val="24"/>
        </w:rPr>
        <w:t xml:space="preserve">本公司郑重声明，根据《政府采购促进中小企业发展管理办法》（财库〔2020〕46号）的规定，本公司参加（</w:t>
      </w:r>
      <w:r>
        <w:rPr>
          <w:rFonts w:hint="eastAsia" w:ascii="宋体" w:hAnsi="宋体" w:cs="宋体"/>
          <w:sz w:val="24"/>
          <w:u w:val="single"/>
        </w:rPr>
        <w:t xml:space="preserve">徐州市第一人民医院</w:t>
      </w:r>
      <w:r>
        <w:rPr>
          <w:rFonts w:hint="eastAsia" w:ascii="宋体" w:hAnsi="宋体" w:cs="宋体"/>
          <w:sz w:val="24"/>
        </w:rPr>
        <w:t xml:space="preserve">）的（</w:t>
      </w:r>
      <w:r>
        <w:rPr>
          <w:rFonts w:hint="eastAsia" w:ascii="宋体" w:hAnsi="宋体" w:cs="宋体"/>
          <w:sz w:val="24"/>
          <w:u w:val="single"/>
        </w:rPr>
        <w:t xml:space="preserve">徐州市第一人民医院口服药单剂量分包机</w:t>
      </w:r>
      <w:r>
        <w:rPr>
          <w:rFonts w:hint="eastAsia" w:ascii="宋体" w:hAnsi="宋体" w:cs="宋体"/>
          <w:sz w:val="24"/>
        </w:rPr>
        <w:t xml:space="preserve">）采购活动，投标人及投标人提供的货物全部由符合政策要求的中小企业制造，相关企业的具体情况如下：</w:t>
      </w:r>
      <w:r/>
    </w:p>
    <w:p>
      <w:pPr>
        <w:pStyle w:val="833"/>
        <w:ind w:left="0" w:firstLine="560"/>
        <w:rPr>
          <w:rFonts w:ascii="宋体" w:hAnsi="宋体" w:cs="宋体"/>
          <w:sz w:val="24"/>
        </w:rPr>
      </w:pPr>
      <w:r>
        <w:rPr>
          <w:rFonts w:hint="eastAsia" w:ascii="宋体" w:hAnsi="宋体" w:cs="宋体"/>
          <w:sz w:val="24"/>
        </w:rPr>
        <w:t xml:space="preserve">1.（</w:t>
      </w:r>
      <w:r>
        <w:rPr>
          <w:rFonts w:hint="eastAsia" w:ascii="宋体" w:hAnsi="宋体" w:cs="宋体"/>
          <w:sz w:val="24"/>
          <w:u w:val="single"/>
        </w:rPr>
        <w:t xml:space="preserve">       </w:t>
      </w:r>
      <w:r>
        <w:rPr>
          <w:rFonts w:hint="eastAsia" w:ascii="宋体" w:hAnsi="宋体" w:cs="宋体"/>
          <w:sz w:val="24"/>
        </w:rPr>
        <w:t xml:space="preserve">）（投标人名称），属于（</w:t>
      </w:r>
      <w:r>
        <w:rPr>
          <w:rFonts w:hint="eastAsia" w:ascii="宋体" w:hAnsi="宋体" w:cs="宋体"/>
          <w:sz w:val="24"/>
          <w:u w:val="single"/>
        </w:rPr>
        <w:t xml:space="preserve">工业</w:t>
      </w:r>
      <w:r>
        <w:rPr>
          <w:rFonts w:hint="eastAsia" w:ascii="宋体" w:hAnsi="宋体" w:cs="宋体"/>
          <w:sz w:val="24"/>
        </w:rPr>
        <w:t xml:space="preserve">）行业；从业人员（</w:t>
      </w:r>
      <w:r>
        <w:rPr>
          <w:rFonts w:hint="eastAsia" w:ascii="宋体" w:hAnsi="宋体" w:cs="宋体"/>
          <w:sz w:val="24"/>
          <w:u w:val="single"/>
        </w:rPr>
        <w:t xml:space="preserve">   </w:t>
      </w:r>
      <w:r>
        <w:rPr>
          <w:rFonts w:hint="eastAsia" w:ascii="宋体" w:hAnsi="宋体" w:cs="宋体"/>
          <w:sz w:val="24"/>
        </w:rPr>
        <w:t xml:space="preserve">）人，营业收入为（</w:t>
      </w:r>
      <w:r>
        <w:rPr>
          <w:rFonts w:hint="eastAsia" w:ascii="宋体" w:hAnsi="宋体" w:cs="宋体"/>
          <w:sz w:val="24"/>
          <w:u w:val="single"/>
        </w:rPr>
        <w:t xml:space="preserve">   </w:t>
      </w:r>
      <w:r>
        <w:rPr>
          <w:rFonts w:hint="eastAsia" w:ascii="宋体" w:hAnsi="宋体" w:cs="宋体"/>
          <w:sz w:val="24"/>
        </w:rPr>
        <w:t xml:space="preserve">万元），资产总额为（</w:t>
      </w:r>
      <w:r>
        <w:rPr>
          <w:rFonts w:hint="eastAsia" w:ascii="宋体" w:hAnsi="宋体" w:cs="宋体"/>
          <w:sz w:val="24"/>
          <w:u w:val="single"/>
        </w:rPr>
        <w:t xml:space="preserve">    </w:t>
      </w:r>
      <w:r>
        <w:rPr>
          <w:rFonts w:hint="eastAsia" w:ascii="宋体" w:hAnsi="宋体" w:cs="宋体"/>
          <w:sz w:val="24"/>
        </w:rPr>
        <w:t xml:space="preserve">万元），属于（□中型企业、□小型企业、□微型企业，</w:t>
      </w:r>
      <w:r>
        <w:rPr>
          <w:rFonts w:hint="eastAsia" w:ascii="宋体" w:hAnsi="宋体" w:cs="宋体"/>
          <w:color w:val="ff0000"/>
          <w:sz w:val="24"/>
        </w:rPr>
        <w:t xml:space="preserve">请勾选！！！</w:t>
      </w:r>
      <w:r>
        <w:rPr>
          <w:rFonts w:hint="eastAsia" w:ascii="宋体" w:hAnsi="宋体" w:cs="宋体"/>
          <w:sz w:val="24"/>
        </w:rPr>
        <w:t xml:space="preserve">）；</w:t>
      </w:r>
      <w:r/>
    </w:p>
    <w:p>
      <w:pPr>
        <w:pStyle w:val="833"/>
        <w:ind w:left="0" w:firstLine="560"/>
        <w:rPr>
          <w:rFonts w:ascii="宋体" w:hAnsi="宋体" w:cs="宋体"/>
          <w:sz w:val="24"/>
        </w:rPr>
      </w:pPr>
      <w:r>
        <w:rPr>
          <w:rFonts w:hint="eastAsia" w:ascii="宋体" w:hAnsi="宋体" w:cs="宋体"/>
          <w:sz w:val="24"/>
        </w:rPr>
        <w:t xml:space="preserve">2.（</w:t>
      </w:r>
      <w:r>
        <w:rPr>
          <w:rFonts w:hint="eastAsia" w:ascii="宋体" w:hAnsi="宋体" w:cs="宋体"/>
          <w:sz w:val="24"/>
          <w:u w:val="single"/>
        </w:rPr>
        <w:t xml:space="preserve">产品名称</w:t>
      </w:r>
      <w:r>
        <w:rPr>
          <w:rFonts w:hint="eastAsia" w:ascii="宋体" w:hAnsi="宋体" w:cs="宋体"/>
          <w:sz w:val="24"/>
        </w:rPr>
        <w:t xml:space="preserve">），属于（</w:t>
      </w:r>
      <w:r>
        <w:rPr>
          <w:rFonts w:hint="eastAsia" w:ascii="宋体" w:hAnsi="宋体" w:cs="宋体"/>
          <w:sz w:val="24"/>
          <w:u w:val="single"/>
        </w:rPr>
        <w:t xml:space="preserve">工业</w:t>
      </w:r>
      <w:r>
        <w:rPr>
          <w:rFonts w:hint="eastAsia" w:ascii="宋体" w:hAnsi="宋体" w:cs="宋体"/>
          <w:sz w:val="24"/>
        </w:rPr>
        <w:t xml:space="preserve">）行业；制造商为（</w:t>
      </w:r>
      <w:r>
        <w:rPr>
          <w:rFonts w:hint="eastAsia" w:ascii="宋体" w:hAnsi="宋体" w:cs="宋体"/>
          <w:sz w:val="24"/>
          <w:u w:val="single"/>
        </w:rPr>
        <w:t xml:space="preserve">       </w:t>
      </w:r>
      <w:r>
        <w:rPr>
          <w:rFonts w:hint="eastAsia" w:ascii="宋体" w:hAnsi="宋体" w:cs="宋体"/>
          <w:sz w:val="24"/>
        </w:rPr>
        <w:t xml:space="preserve">）（企业名称），从业人员（</w:t>
      </w:r>
      <w:r>
        <w:rPr>
          <w:rFonts w:hint="eastAsia" w:ascii="宋体" w:hAnsi="宋体" w:cs="宋体"/>
          <w:sz w:val="24"/>
          <w:u w:val="single"/>
        </w:rPr>
        <w:t xml:space="preserve">   </w:t>
      </w:r>
      <w:r>
        <w:rPr>
          <w:rFonts w:hint="eastAsia" w:ascii="宋体" w:hAnsi="宋体" w:cs="宋体"/>
          <w:sz w:val="24"/>
        </w:rPr>
        <w:t xml:space="preserve">）人，营业收入为（</w:t>
      </w:r>
      <w:r>
        <w:rPr>
          <w:rFonts w:hint="eastAsia" w:ascii="宋体" w:hAnsi="宋体" w:cs="宋体"/>
          <w:sz w:val="24"/>
          <w:u w:val="single"/>
        </w:rPr>
        <w:t xml:space="preserve">   </w:t>
      </w:r>
      <w:r>
        <w:rPr>
          <w:rFonts w:hint="eastAsia" w:ascii="宋体" w:hAnsi="宋体" w:cs="宋体"/>
          <w:sz w:val="24"/>
        </w:rPr>
        <w:t xml:space="preserve">万元），资产总额为（</w:t>
      </w:r>
      <w:r>
        <w:rPr>
          <w:rFonts w:hint="eastAsia" w:ascii="宋体" w:hAnsi="宋体" w:cs="宋体"/>
          <w:sz w:val="24"/>
          <w:u w:val="single"/>
        </w:rPr>
        <w:t xml:space="preserve">    </w:t>
      </w:r>
      <w:r>
        <w:rPr>
          <w:rFonts w:hint="eastAsia" w:ascii="宋体" w:hAnsi="宋体" w:cs="宋体"/>
          <w:sz w:val="24"/>
        </w:rPr>
        <w:t xml:space="preserve">万元），属于（□中型企业、□小型企业、□微型企业，</w:t>
      </w:r>
      <w:r>
        <w:rPr>
          <w:rFonts w:hint="eastAsia" w:ascii="宋体" w:hAnsi="宋体" w:cs="宋体"/>
          <w:color w:val="ff0000"/>
          <w:sz w:val="24"/>
        </w:rPr>
        <w:t xml:space="preserve">请勾选！！！</w:t>
      </w:r>
      <w:r>
        <w:rPr>
          <w:rFonts w:hint="eastAsia" w:ascii="宋体" w:hAnsi="宋体" w:cs="宋体"/>
          <w:sz w:val="24"/>
        </w:rPr>
        <w:t xml:space="preserve">）；</w:t>
      </w:r>
      <w:r/>
    </w:p>
    <w:p>
      <w:pPr>
        <w:pStyle w:val="833"/>
        <w:ind w:left="0" w:firstLine="560"/>
        <w:rPr>
          <w:rFonts w:ascii="宋体" w:hAnsi="宋体" w:cs="宋体"/>
          <w:sz w:val="24"/>
        </w:rPr>
      </w:pPr>
      <w:r>
        <w:rPr>
          <w:rFonts w:hint="eastAsia" w:ascii="宋体" w:hAnsi="宋体" w:cs="宋体"/>
          <w:sz w:val="24"/>
        </w:rPr>
        <w:t xml:space="preserve">......</w:t>
      </w:r>
      <w:r/>
    </w:p>
    <w:p>
      <w:pPr>
        <w:pStyle w:val="833"/>
        <w:ind w:left="0" w:firstLine="560"/>
        <w:rPr>
          <w:rFonts w:ascii="宋体" w:hAnsi="宋体" w:cs="宋体"/>
          <w:sz w:val="24"/>
        </w:rPr>
      </w:pPr>
      <w:r>
        <w:rPr>
          <w:rFonts w:hint="eastAsia" w:ascii="宋体" w:hAnsi="宋体" w:cs="宋体"/>
          <w:sz w:val="24"/>
        </w:rPr>
        <w:t xml:space="preserve">以上企业，不属于大企业的分支机构，不存在控股股东为大企业的情形，也不存在与大企业的负责人为同一人的情形。</w:t>
      </w:r>
      <w:r/>
    </w:p>
    <w:p>
      <w:pPr>
        <w:rPr>
          <w:rFonts w:ascii="宋体" w:hAnsi="宋体" w:cs="宋体"/>
          <w:b/>
          <w:bCs/>
          <w:sz w:val="24"/>
        </w:rPr>
      </w:pPr>
      <w:r>
        <w:rPr>
          <w:rFonts w:hint="eastAsia" w:ascii="宋体" w:hAnsi="宋体" w:cs="宋体"/>
          <w:sz w:val="24"/>
        </w:rPr>
        <w:t xml:space="preserve">本企业对上述声明内容的真实性负责。如有虚假，将依法承担相应责任。</w:t>
      </w:r>
      <w:r/>
    </w:p>
    <w:p>
      <w:pPr>
        <w:pStyle w:val="833"/>
        <w:spacing w:line="360" w:lineRule="auto"/>
        <w:rPr>
          <w:rFonts w:ascii="宋体" w:hAnsi="宋体" w:cs="宋体"/>
          <w:sz w:val="24"/>
        </w:rPr>
      </w:pPr>
      <w:r>
        <w:rPr>
          <w:rFonts w:hint="eastAsia" w:ascii="宋体" w:hAnsi="宋体" w:cs="宋体"/>
          <w:sz w:val="24"/>
        </w:rPr>
        <w:t xml:space="preserve">企业名称（电子签章）：</w:t>
      </w:r>
      <w:r/>
    </w:p>
    <w:p>
      <w:pPr>
        <w:pStyle w:val="833"/>
        <w:spacing w:line="360" w:lineRule="auto"/>
        <w:rPr>
          <w:rFonts w:ascii="宋体" w:hAnsi="宋体" w:cs="宋体"/>
          <w:sz w:val="24"/>
        </w:rPr>
      </w:pPr>
      <w:r>
        <w:rPr>
          <w:rFonts w:hint="eastAsia" w:ascii="宋体" w:hAnsi="宋体" w:cs="宋体"/>
          <w:sz w:val="24"/>
        </w:rPr>
        <w:t xml:space="preserve">日期：  年  月  日</w:t>
      </w:r>
      <w:r/>
    </w:p>
    <w:p>
      <w:pPr>
        <w:spacing w:line="480" w:lineRule="exact"/>
        <w:rPr>
          <w:rFonts w:ascii="宋体" w:hAnsi="宋体" w:cs="宋体"/>
          <w:bCs/>
          <w:sz w:val="24"/>
        </w:rPr>
      </w:pPr>
      <w:r>
        <w:rPr>
          <w:rFonts w:hint="eastAsia" w:ascii="宋体" w:hAnsi="宋体" w:cs="宋体"/>
          <w:bCs/>
          <w:sz w:val="24"/>
        </w:rPr>
        <w:t xml:space="preserve">备注：本采购项目所属行业为“</w:t>
      </w:r>
      <w:r>
        <w:rPr>
          <w:rFonts w:hint="eastAsia" w:ascii="宋体" w:hAnsi="宋体" w:cs="宋体"/>
          <w:b/>
          <w:sz w:val="24"/>
        </w:rPr>
        <w:t xml:space="preserve">工业</w:t>
      </w:r>
      <w:r>
        <w:rPr>
          <w:rFonts w:hint="eastAsia" w:ascii="宋体" w:hAnsi="宋体" w:cs="宋体"/>
          <w:bCs/>
          <w:sz w:val="24"/>
        </w:rPr>
        <w:t xml:space="preserve">”。</w:t>
      </w:r>
      <w:r/>
    </w:p>
    <w:p>
      <w:pPr>
        <w:pStyle w:val="833"/>
        <w:ind w:left="0"/>
        <w:jc w:val="left"/>
        <w:spacing w:after="0" w:line="360" w:lineRule="auto"/>
        <w:rPr>
          <w:rFonts w:ascii="宋体" w:hAnsi="宋体" w:cs="宋体"/>
          <w:bCs/>
          <w:sz w:val="24"/>
        </w:rPr>
      </w:pPr>
      <w:r>
        <w:rPr>
          <w:rFonts w:hint="eastAsia" w:ascii="宋体" w:hAnsi="宋体" w:cs="宋体"/>
          <w:bCs/>
          <w:sz w:val="24"/>
        </w:rPr>
        <w:t xml:space="preserve">说明：</w:t>
      </w:r>
      <w:r/>
    </w:p>
    <w:p>
      <w:pPr>
        <w:pStyle w:val="833"/>
        <w:ind w:left="0"/>
        <w:spacing w:after="0" w:line="360" w:lineRule="auto"/>
        <w:rPr>
          <w:rFonts w:ascii="宋体" w:hAnsi="宋体" w:cs="宋体"/>
          <w:bCs/>
          <w:sz w:val="24"/>
        </w:rPr>
      </w:pPr>
      <w:r>
        <w:rPr>
          <w:rFonts w:hint="eastAsia" w:ascii="宋体" w:hAnsi="宋体" w:cs="宋体"/>
          <w:bCs/>
          <w:sz w:val="24"/>
        </w:rPr>
        <w:t xml:space="preserve">1、中小微企业的划分具体以《政府采购促进中小企业发展管理办法》（财库﹝2020﹞46号）和《工业和信息化部、国家统计局、国家发展和改革委员会、财政部关于印发中小企业划型标准规定的通知》（工信部联企业〔2011〕300号）的规定为准。</w:t>
      </w:r>
      <w:r/>
    </w:p>
    <w:p>
      <w:pPr>
        <w:pStyle w:val="833"/>
        <w:ind w:left="0"/>
        <w:spacing w:after="0" w:line="360" w:lineRule="auto"/>
        <w:rPr>
          <w:rFonts w:ascii="宋体" w:hAnsi="宋体" w:cs="宋体"/>
          <w:bCs/>
          <w:sz w:val="24"/>
        </w:rPr>
      </w:pPr>
      <w:r>
        <w:rPr>
          <w:rFonts w:hint="eastAsia" w:ascii="宋体" w:hAnsi="宋体" w:cs="宋体"/>
          <w:bCs/>
          <w:sz w:val="24"/>
        </w:rPr>
        <w:t xml:space="preserve">2、从业人员、营业收入、资产总额填报供应商上一年度数据，无上一年度数据的新成立企业可不填报。</w:t>
      </w:r>
      <w:r/>
    </w:p>
    <w:p>
      <w:pPr>
        <w:pStyle w:val="833"/>
        <w:ind w:left="0"/>
        <w:spacing w:after="0" w:line="360" w:lineRule="auto"/>
        <w:rPr>
          <w:rFonts w:ascii="宋体" w:hAnsi="宋体" w:cs="宋体"/>
          <w:bCs/>
          <w:sz w:val="24"/>
        </w:rPr>
      </w:pPr>
      <w:r>
        <w:rPr>
          <w:rFonts w:hint="eastAsia" w:ascii="宋体" w:hAnsi="宋体" w:cs="宋体"/>
          <w:bCs/>
          <w:sz w:val="24"/>
        </w:rPr>
        <w:t xml:space="preserve">3、中标、成交供应商为小型、微型企业的，采购人或者其委托的采购代理机构有权随中标、成交结果同时公告其《中小企业声明函》，接受社会监督。</w:t>
      </w:r>
      <w:r/>
    </w:p>
    <w:p>
      <w:pPr>
        <w:pStyle w:val="833"/>
        <w:ind w:left="0"/>
        <w:spacing w:after="0" w:line="360" w:lineRule="auto"/>
        <w:rPr>
          <w:rFonts w:ascii="宋体" w:hAnsi="宋体" w:cs="宋体"/>
          <w:bCs/>
          <w:sz w:val="24"/>
        </w:rPr>
      </w:pPr>
      <w:r>
        <w:rPr>
          <w:rFonts w:hint="eastAsia" w:ascii="宋体" w:hAnsi="宋体" w:cs="宋体"/>
          <w:bCs/>
          <w:sz w:val="24"/>
        </w:rPr>
        <w:t xml:space="preserve">4、执行江苏省财政厅关于进一步加大政府采购支持中小企业力度的通知（苏财购〔2022〕45号）的规定。</w:t>
      </w:r>
      <w:r/>
    </w:p>
    <w:p>
      <w:pPr>
        <w:pStyle w:val="833"/>
        <w:ind w:left="0"/>
        <w:spacing w:after="0" w:line="360" w:lineRule="auto"/>
        <w:rPr>
          <w:rFonts w:ascii="宋体" w:hAnsi="宋体" w:cs="宋体"/>
          <w:bCs/>
          <w:sz w:val="24"/>
        </w:rPr>
      </w:pPr>
      <w:r>
        <w:rPr>
          <w:rFonts w:hint="eastAsia" w:ascii="宋体" w:hAnsi="宋体" w:cs="宋体"/>
          <w:bCs/>
          <w:sz w:val="24"/>
        </w:rPr>
        <w:t xml:space="preserve">5、供应商提供的《中小企业声明函》与事实不符的，依照《中华人民共和国政府采购法》第七十七条第一款的规定追究法律责任。</w:t>
      </w:r>
      <w:r/>
    </w:p>
    <w:p>
      <w:pPr>
        <w:spacing w:line="480" w:lineRule="exact"/>
        <w:rPr>
          <w:rFonts w:ascii="宋体" w:hAnsi="宋体" w:cs="宋体"/>
          <w:bCs/>
          <w:sz w:val="24"/>
        </w:rPr>
      </w:pPr>
      <w:r>
        <w:rPr>
          <w:rFonts w:hint="eastAsia" w:ascii="宋体" w:hAnsi="宋体" w:cs="宋体"/>
          <w:bCs/>
          <w:sz w:val="24"/>
        </w:rPr>
        <w:t xml:space="preserve">6、《中小企业声明函》查询渠道用微信搜索“中小企业规模类型自测小程序”。</w:t>
      </w:r>
      <w:r/>
    </w:p>
    <w:p>
      <w:pPr>
        <w:ind w:firstLine="600"/>
        <w:jc w:val="center"/>
        <w:spacing w:line="479" w:lineRule="atLeast"/>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24"/>
        </w:rPr>
        <mc:AlternateContent>
          <mc:Choice Requires="wpg">
            <w:drawing>
              <wp:inline xmlns:wp="http://schemas.openxmlformats.org/drawingml/2006/wordprocessingDrawing" distT="0" distB="0" distL="0" distR="0">
                <wp:extent cx="3656965" cy="7592695"/>
                <wp:effectExtent l="0" t="0" r="0" b="0"/>
                <wp:docPr id="3" name="图片 5"/>
                <wp:cNvGraphicFramePr/>
                <a:graphic xmlns:a="http://schemas.openxmlformats.org/drawingml/2006/main">
                  <a:graphicData uri="http://schemas.openxmlformats.org/drawingml/2006/picture">
                    <pic:pic xmlns:pic="http://schemas.openxmlformats.org/drawingml/2006/picture">
                      <pic:nvPicPr>
                        <pic:cNvPr id="2" name="图片 5"/>
                        <pic:cNvPicPr/>
                        <pic:nvPr/>
                      </pic:nvPicPr>
                      <pic:blipFill>
                        <a:blip r:embed="rId20"/>
                        <a:srcRect l="0" t="4030" r="0" b="0"/>
                        <a:stretch/>
                      </pic:blipFill>
                      <pic:spPr bwMode="auto">
                        <a:xfrm>
                          <a:off x="0" y="0"/>
                          <a:ext cx="3656965" cy="759269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287.9pt;height:597.9pt;mso-wrap-distance-left:0.0pt;mso-wrap-distance-top:0.0pt;mso-wrap-distance-right:0.0pt;mso-wrap-distance-bottom:0.0pt;" stroked="f">
                <v:path textboxrect="0,0,0,0"/>
                <v:imagedata r:id="rId20" o:title=""/>
              </v:shape>
            </w:pict>
          </mc:Fallback>
        </mc:AlternateContent>
      </w:r>
      <w:r>
        <w:rPr>
          <w:rFonts w:hint="eastAsia" w:ascii="宋体" w:hAnsi="宋体" w:cs="宋体"/>
        </w:rPr>
        <w:br w:type="page" w:clear="all"/>
      </w:r>
      <w:r/>
    </w:p>
    <w:p>
      <w:pPr>
        <w:ind w:firstLine="600"/>
        <w:jc w:val="center"/>
        <w:spacing w:line="479" w:lineRule="atLeast"/>
        <w:rPr>
          <w:rFonts w:ascii="宋体" w:hAnsi="宋体" w:cs="宋体"/>
          <w:b/>
          <w:bCs/>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b/>
          <w:bCs/>
          <w:sz w:val="28"/>
          <w:szCs w:val="28"/>
        </w:rPr>
        <w:t xml:space="preserve">七、残疾人福利性单位声明函</w:t>
      </w:r>
      <w:r/>
    </w:p>
    <w:p>
      <w:pPr>
        <w:jc w:val="center"/>
        <w:spacing w:line="479" w:lineRule="atLeas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pacing w:val="6"/>
          <w:sz w:val="24"/>
        </w:rPr>
        <w:t xml:space="preserve">（如投标人不属于残疾人福利性单位不需要提供此声明函）</w:t>
      </w:r>
      <w:r/>
    </w:p>
    <w:p>
      <w:pPr>
        <w:spacing w:line="360" w:lineRule="auto"/>
        <w:rPr>
          <w:rFonts w:ascii="宋体" w:hAnsi="宋体" w:cs="宋体"/>
          <w:spacing w:val="6"/>
          <w:sz w:val="24"/>
        </w:rPr>
        <w:pBdr>
          <w:top w:val="none" w:color="000000" w:sz="0" w:space="0"/>
          <w:left w:val="none" w:color="000000" w:sz="0" w:space="0"/>
          <w:bottom w:val="none" w:color="000000" w:sz="0" w:space="0"/>
          <w:right w:val="none" w:color="000000" w:sz="0" w:space="0"/>
        </w:pBdr>
      </w:pPr>
      <w:r>
        <w:rPr>
          <w:rFonts w:ascii="宋体" w:hAnsi="宋体" w:cs="宋体"/>
          <w:spacing w:val="6"/>
          <w:sz w:val="24"/>
        </w:rPr>
      </w:r>
      <w:r/>
    </w:p>
    <w:p>
      <w:pPr>
        <w:spacing w:line="360" w:lineRule="auto"/>
        <w:rPr>
          <w:rFonts w:hint="eastAsia" w:ascii="宋体" w:hAnsi="宋体" w:eastAsia="宋体" w:cs="宋体"/>
          <w:sz w:val="24"/>
          <w:lang w:eastAsia="zh-CN"/>
        </w:rPr>
        <w:pBdr>
          <w:top w:val="none" w:color="000000" w:sz="0" w:space="0"/>
          <w:left w:val="none" w:color="000000" w:sz="0" w:space="0"/>
          <w:bottom w:val="none" w:color="000000" w:sz="0" w:space="0"/>
          <w:right w:val="none" w:color="000000" w:sz="0" w:space="0"/>
        </w:pBdr>
      </w:pPr>
      <w:r>
        <w:rPr>
          <w:rFonts w:hint="eastAsia" w:ascii="宋体" w:hAnsi="宋体" w:cs="宋体"/>
          <w:spacing w:val="6"/>
          <w:sz w:val="24"/>
        </w:rPr>
        <w:t xml:space="preserve">项目编号：</w:t>
      </w:r>
      <w:r>
        <w:rPr>
          <w:rFonts w:hint="eastAsia" w:ascii="宋体" w:hAnsi="宋体" w:cs="宋体"/>
          <w:spacing w:val="6"/>
          <w:sz w:val="24"/>
          <w:lang w:eastAsia="zh-CN"/>
        </w:rPr>
        <w:t xml:space="preserve">JSZC-320300-JSZR-G2025-0124</w:t>
      </w:r>
      <w:r/>
    </w:p>
    <w:p>
      <w:pPr>
        <w:spacing w:line="360" w:lineRule="auto"/>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pacing w:val="6"/>
          <w:sz w:val="24"/>
        </w:rPr>
        <w:t xml:space="preserve">项目名称：徐州市第一人民医院口服药单剂量分包机</w:t>
      </w:r>
      <w:r/>
    </w:p>
    <w:p>
      <w:pPr>
        <w:ind w:firstLine="624"/>
        <w:spacing w:line="360" w:lineRule="auto"/>
        <w:rPr>
          <w:rFonts w:ascii="宋体" w:hAnsi="宋体" w:cs="宋体"/>
          <w:spacing w:val="6"/>
          <w:sz w:val="24"/>
        </w:rPr>
        <w:pBdr>
          <w:top w:val="none" w:color="000000" w:sz="0" w:space="0"/>
          <w:left w:val="none" w:color="000000" w:sz="0" w:space="0"/>
          <w:bottom w:val="none" w:color="000000" w:sz="0" w:space="0"/>
          <w:right w:val="none" w:color="000000" w:sz="0" w:space="0"/>
        </w:pBdr>
      </w:pPr>
      <w:r>
        <w:rPr>
          <w:rFonts w:ascii="宋体" w:hAnsi="宋体" w:cs="宋体"/>
          <w:spacing w:val="6"/>
          <w:sz w:val="24"/>
        </w:rPr>
      </w:r>
      <w:r/>
    </w:p>
    <w:p>
      <w:pPr>
        <w:ind w:firstLine="624"/>
        <w:spacing w:line="360" w:lineRule="auto"/>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pacing w:val="6"/>
          <w:sz w:val="24"/>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ascii="宋体" w:hAnsi="宋体" w:cs="宋体"/>
          <w:sz w:val="24"/>
        </w:rPr>
        <w:t xml:space="preserve">______</w:t>
      </w:r>
      <w:r>
        <w:rPr>
          <w:rFonts w:hint="eastAsia" w:ascii="宋体" w:hAnsi="宋体" w:cs="宋体"/>
          <w:spacing w:val="6"/>
          <w:sz w:val="24"/>
        </w:rPr>
        <w:t xml:space="preserve">单位的</w:t>
      </w:r>
      <w:r>
        <w:rPr>
          <w:rFonts w:hint="eastAsia" w:ascii="宋体" w:hAnsi="宋体" w:cs="宋体"/>
          <w:sz w:val="24"/>
        </w:rPr>
        <w:t xml:space="preserve">______</w:t>
      </w:r>
      <w:r>
        <w:rPr>
          <w:rFonts w:hint="eastAsia" w:ascii="宋体" w:hAnsi="宋体" w:cs="宋体"/>
          <w:spacing w:val="6"/>
          <w:sz w:val="24"/>
        </w:rPr>
        <w:t xml:space="preserve">项目采购活动提供本单位制造的货物（由本单位承担工程/提供服务），或者提供其他残疾人福利性单位制造的货物（不包括使用非残疾人福利性单位注册商标的货物）。</w:t>
      </w:r>
      <w:r/>
    </w:p>
    <w:p>
      <w:pPr>
        <w:ind w:firstLine="624"/>
        <w:spacing w:line="360" w:lineRule="auto"/>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pacing w:val="6"/>
          <w:sz w:val="24"/>
        </w:rPr>
        <w:t xml:space="preserve">本单位对上述声明的真实性负责。如有虚假，将依法承担相应责任。</w:t>
      </w:r>
      <w:r/>
    </w:p>
    <w:p>
      <w:pPr>
        <w:ind w:firstLine="624"/>
        <w:spacing w:line="360" w:lineRule="auto"/>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pacing w:val="6"/>
          <w:sz w:val="24"/>
        </w:rPr>
        <w:t xml:space="preserve"> </w:t>
      </w:r>
      <w:r/>
    </w:p>
    <w:p>
      <w:pPr>
        <w:ind w:firstLine="624"/>
        <w:spacing w:line="360" w:lineRule="auto"/>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pacing w:val="6"/>
          <w:sz w:val="24"/>
        </w:rPr>
        <w:t xml:space="preserve"> </w:t>
      </w:r>
      <w:r/>
    </w:p>
    <w:p>
      <w:pPr>
        <w:ind w:firstLine="2550"/>
        <w:spacing w:line="360" w:lineRule="auto"/>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投标人：</w:t>
      </w:r>
      <w:r>
        <w:rPr>
          <w:rFonts w:hint="eastAsia" w:ascii="宋体" w:hAnsi="宋体" w:cs="宋体"/>
          <w:sz w:val="24"/>
          <w:u w:val="single"/>
        </w:rPr>
        <w:t xml:space="preserve">           </w:t>
      </w:r>
      <w:r>
        <w:rPr>
          <w:rFonts w:hint="eastAsia" w:ascii="宋体" w:hAnsi="宋体" w:cs="宋体"/>
          <w:sz w:val="24"/>
        </w:rPr>
        <w:t xml:space="preserve">（电子签章）</w:t>
      </w:r>
      <w:r/>
    </w:p>
    <w:p>
      <w:pPr>
        <w:ind w:firstLine="4500"/>
        <w:spacing w:line="360" w:lineRule="auto"/>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 </w:t>
      </w:r>
      <w:r/>
    </w:p>
    <w:p>
      <w:pPr>
        <w:ind w:firstLine="2400"/>
        <w:spacing w:line="360" w:lineRule="auto"/>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日期： 年 月 日</w:t>
      </w:r>
      <w:r/>
    </w:p>
    <w:p>
      <w:pPr>
        <w:ind w:firstLine="4500"/>
        <w:spacing w:line="479" w:lineRule="atLeast"/>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30"/>
        </w:rPr>
        <w:t xml:space="preserve"> </w:t>
      </w:r>
      <w:r/>
    </w:p>
    <w:p>
      <w:pPr>
        <w:ind w:firstLine="600"/>
        <w:jc w:val="center"/>
        <w:spacing w:line="479" w:lineRule="atLeast"/>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rPr>
        <w:br w:type="page" w:clear="all"/>
      </w:r>
      <w:r/>
    </w:p>
    <w:p>
      <w:pPr>
        <w:jc w:val="center"/>
        <w:spacing w:line="479" w:lineRule="atLeast"/>
        <w:rPr>
          <w:rFonts w:ascii="宋体" w:hAnsi="宋体" w:cs="宋体"/>
          <w:b/>
          <w:bCs/>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b/>
          <w:bCs/>
          <w:sz w:val="28"/>
          <w:szCs w:val="28"/>
        </w:rPr>
        <w:t xml:space="preserve">八、投标人参加政府采购活动前3年内在经营活动中没有重大违法记录的书面声明</w:t>
      </w:r>
      <w:r/>
    </w:p>
    <w:p>
      <w:pPr>
        <w:ind w:firstLine="600"/>
        <w:spacing w:line="479" w:lineRule="atLeast"/>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30"/>
        </w:rPr>
        <w:t xml:space="preserve"> </w:t>
      </w:r>
      <w:r/>
    </w:p>
    <w:p>
      <w:pPr>
        <w:ind w:firstLine="600"/>
        <w:spacing w:line="360" w:lineRule="auto"/>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我单位在参加</w:t>
      </w:r>
      <w:r>
        <w:rPr>
          <w:rFonts w:hint="eastAsia" w:ascii="宋体" w:hAnsi="宋体" w:cs="宋体"/>
          <w:sz w:val="24"/>
          <w:u w:val="single"/>
        </w:rPr>
        <w:t xml:space="preserve">徐州市第一人民医院口服药单剂量分包机</w:t>
      </w:r>
      <w:r>
        <w:rPr>
          <w:rFonts w:hint="eastAsia" w:ascii="宋体" w:hAnsi="宋体" w:cs="宋体"/>
          <w:sz w:val="24"/>
        </w:rPr>
        <w:t xml:space="preserve">项目（项目编号：</w:t>
      </w:r>
      <w:r>
        <w:rPr>
          <w:rFonts w:hint="eastAsia" w:ascii="宋体" w:hAnsi="宋体" w:cs="宋体"/>
          <w:sz w:val="24"/>
          <w:lang w:eastAsia="zh-CN"/>
        </w:rPr>
        <w:t xml:space="preserve">JSZC-320300-JSZR-G2025-0124</w:t>
      </w:r>
      <w:r>
        <w:rPr>
          <w:rFonts w:hint="eastAsia" w:ascii="宋体" w:hAnsi="宋体" w:cs="宋体"/>
          <w:sz w:val="24"/>
        </w:rPr>
        <w:t xml:space="preserve">）政府采购活动前3年内，在经营活动中没有重大违法记录。重大违法记录是指因违法经营受到刑事处罚或者责令停产停业、吊销许可证或者执照、较大数额罚款等行政处罚。</w:t>
      </w:r>
      <w:r/>
    </w:p>
    <w:p>
      <w:pPr>
        <w:ind w:firstLine="600"/>
        <w:spacing w:line="360" w:lineRule="auto"/>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我单位对上述声明的真实性负责。如有虚假，将依法承担相应责任。</w:t>
      </w:r>
      <w:r/>
    </w:p>
    <w:p>
      <w:pPr>
        <w:spacing w:line="360" w:lineRule="auto"/>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 </w:t>
      </w:r>
      <w:r/>
    </w:p>
    <w:p>
      <w:pPr>
        <w:spacing w:line="360" w:lineRule="auto"/>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 </w:t>
      </w:r>
      <w:r/>
    </w:p>
    <w:p>
      <w:pPr>
        <w:ind w:firstLine="2850"/>
        <w:spacing w:line="360" w:lineRule="auto"/>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投标人：</w:t>
      </w:r>
      <w:r>
        <w:rPr>
          <w:rFonts w:hint="eastAsia" w:ascii="宋体" w:hAnsi="宋体" w:cs="宋体"/>
          <w:sz w:val="24"/>
          <w:u w:val="single"/>
        </w:rPr>
        <w:t xml:space="preserve">           </w:t>
      </w:r>
      <w:r>
        <w:rPr>
          <w:rFonts w:hint="eastAsia" w:ascii="宋体" w:hAnsi="宋体" w:cs="宋体"/>
          <w:sz w:val="24"/>
        </w:rPr>
        <w:t xml:space="preserve">（电子签章）</w:t>
      </w:r>
      <w:r/>
    </w:p>
    <w:p>
      <w:pPr>
        <w:ind w:firstLine="4500"/>
        <w:spacing w:line="360" w:lineRule="auto"/>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 </w:t>
      </w:r>
      <w:r/>
    </w:p>
    <w:p>
      <w:pPr>
        <w:ind w:firstLine="3000"/>
        <w:spacing w:line="360" w:lineRule="auto"/>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日期： 年 月 日</w:t>
      </w:r>
      <w:r/>
    </w:p>
    <w:p>
      <w:pPr>
        <w:ind w:firstLine="3000"/>
        <w:spacing w:line="360" w:lineRule="auto"/>
        <w:rPr>
          <w:rFonts w:ascii="宋体" w:hAnsi="宋体" w:cs="宋体"/>
        </w:rPr>
        <w:pBdr>
          <w:top w:val="none" w:color="000000" w:sz="0" w:space="0"/>
          <w:left w:val="none" w:color="000000" w:sz="0" w:space="0"/>
          <w:bottom w:val="none" w:color="000000" w:sz="0" w:space="0"/>
          <w:right w:val="none" w:color="000000" w:sz="0" w:space="0"/>
        </w:pBdr>
      </w:pPr>
      <w:r>
        <w:rPr>
          <w:rFonts w:ascii="宋体" w:hAnsi="宋体" w:cs="宋体"/>
        </w:rPr>
      </w:r>
      <w:r/>
    </w:p>
    <w:p>
      <w:pPr>
        <w:jc w:val="center"/>
        <w:spacing w:line="85" w:lineRule="atLeast"/>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b/>
          <w:sz w:val="24"/>
        </w:rPr>
        <w:t xml:space="preserve"> </w:t>
      </w:r>
      <w:r/>
    </w:p>
    <w:p>
      <w:pPr>
        <w:jc w:val="center"/>
        <w:spacing w:line="85" w:lineRule="atLeast"/>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b/>
          <w:sz w:val="24"/>
        </w:rPr>
        <w:t xml:space="preserve"> </w:t>
      </w:r>
      <w:r/>
    </w:p>
    <w:p>
      <w:pPr>
        <w:jc w:val="center"/>
        <w:spacing w:line="85" w:lineRule="atLeast"/>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b/>
          <w:sz w:val="24"/>
        </w:rPr>
        <w:t xml:space="preserve"> </w:t>
      </w:r>
      <w:r/>
    </w:p>
    <w:p>
      <w:pPr>
        <w:jc w:val="center"/>
        <w:spacing w:line="85" w:lineRule="atLeast"/>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b/>
          <w:sz w:val="24"/>
        </w:rPr>
        <w:t xml:space="preserve"> </w:t>
      </w:r>
      <w:r/>
    </w:p>
    <w:p>
      <w:pPr>
        <w:jc w:val="center"/>
        <w:spacing w:line="85" w:lineRule="atLeast"/>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b/>
          <w:sz w:val="24"/>
        </w:rPr>
        <w:t xml:space="preserve"> </w:t>
      </w:r>
      <w:r/>
    </w:p>
    <w:p>
      <w:pPr>
        <w:jc w:val="center"/>
        <w:spacing w:line="85" w:lineRule="atLeast"/>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b/>
          <w:sz w:val="24"/>
        </w:rPr>
        <w:t xml:space="preserve"> </w:t>
      </w:r>
      <w:r/>
    </w:p>
    <w:p>
      <w:pPr>
        <w:jc w:val="center"/>
        <w:spacing w:line="85" w:lineRule="atLeast"/>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b/>
          <w:sz w:val="24"/>
        </w:rPr>
        <w:t xml:space="preserve"> </w:t>
      </w:r>
      <w:r/>
    </w:p>
    <w:p>
      <w:pPr>
        <w:jc w:val="center"/>
        <w:spacing w:line="85" w:lineRule="atLeast"/>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b/>
          <w:sz w:val="24"/>
        </w:rPr>
        <w:t xml:space="preserve"> </w:t>
      </w:r>
      <w:r/>
    </w:p>
    <w:p>
      <w:pPr>
        <w:jc w:val="center"/>
        <w:spacing w:line="85" w:lineRule="atLeast"/>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b/>
          <w:sz w:val="24"/>
        </w:rPr>
        <w:t xml:space="preserve"> </w:t>
      </w:r>
      <w:r/>
    </w:p>
    <w:p>
      <w:pPr>
        <w:jc w:val="center"/>
        <w:spacing w:line="85" w:lineRule="atLeast"/>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b/>
          <w:sz w:val="24"/>
        </w:rPr>
        <w:t xml:space="preserve"> </w:t>
      </w:r>
      <w:r/>
    </w:p>
    <w:p>
      <w:pPr>
        <w:jc w:val="center"/>
        <w:spacing w:line="85" w:lineRule="atLeast"/>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b/>
          <w:sz w:val="24"/>
        </w:rPr>
        <w:t xml:space="preserve"> </w:t>
      </w:r>
      <w:r/>
    </w:p>
    <w:p>
      <w:pPr>
        <w:jc w:val="center"/>
        <w:spacing w:line="85" w:lineRule="atLeast"/>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b/>
          <w:sz w:val="24"/>
        </w:rPr>
        <w:t xml:space="preserve"> </w:t>
      </w:r>
      <w:r/>
    </w:p>
    <w:p>
      <w:pPr>
        <w:jc w:val="center"/>
        <w:spacing w:line="85" w:lineRule="atLeast"/>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b/>
          <w:sz w:val="24"/>
        </w:rPr>
        <w:t xml:space="preserve"> </w:t>
      </w:r>
      <w:r/>
    </w:p>
    <w:p>
      <w:pPr>
        <w:jc w:val="center"/>
        <w:spacing w:line="85" w:lineRule="atLeast"/>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b/>
          <w:sz w:val="24"/>
        </w:rPr>
        <w:t xml:space="preserve"> </w:t>
      </w:r>
      <w:r/>
    </w:p>
    <w:p>
      <w:pPr>
        <w:jc w:val="center"/>
        <w:spacing w:line="85" w:lineRule="atLeast"/>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b/>
          <w:sz w:val="24"/>
        </w:rPr>
        <w:t xml:space="preserve"> </w:t>
      </w:r>
      <w:r/>
    </w:p>
    <w:p>
      <w:pPr>
        <w:ind w:firstLine="600"/>
        <w:jc w:val="center"/>
        <w:spacing w:line="479" w:lineRule="atLeast"/>
        <w:rPr>
          <w:rFonts w:ascii="宋体" w:hAnsi="宋体" w:cs="宋体"/>
          <w:sz w:val="30"/>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3" w:bottom="1440" w:left="1803" w:header="851" w:footer="992" w:gutter="0"/>
          <w:pgNumType w:start="1"/>
          <w:cols w:num="1" w:sep="0" w:space="1701" w:equalWidth="1"/>
          <w:docGrid w:linePitch="360"/>
        </w:sectPr>
      </w:pPr>
      <w:r>
        <w:rPr>
          <w:rFonts w:ascii="宋体" w:hAnsi="宋体" w:cs="宋体"/>
          <w:sz w:val="30"/>
        </w:rPr>
      </w:r>
      <w:r/>
    </w:p>
    <w:p>
      <w:pPr>
        <w:jc w:val="center"/>
        <w:spacing w:line="479" w:lineRule="atLeast"/>
        <w:rPr>
          <w:rFonts w:ascii="宋体" w:hAnsi="宋体" w:cs="宋体"/>
          <w:b/>
          <w:bCs/>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b/>
          <w:bCs/>
          <w:sz w:val="28"/>
          <w:szCs w:val="28"/>
        </w:rPr>
        <w:t xml:space="preserve">九、具备履行合同所必需的设备和专业技术能力的书面声明</w:t>
      </w:r>
      <w:r/>
    </w:p>
    <w:p>
      <w:pPr>
        <w:rPr>
          <w:rFonts w:ascii="宋体" w:hAnsi="宋体" w:cs="宋体"/>
          <w:sz w:val="24"/>
        </w:rPr>
      </w:pPr>
      <w:r>
        <w:rPr>
          <w:rFonts w:ascii="宋体" w:hAnsi="宋体" w:cs="宋体"/>
          <w:sz w:val="24"/>
        </w:rPr>
      </w:r>
      <w:r/>
    </w:p>
    <w:p>
      <w:pPr>
        <w:jc w:val="left"/>
        <w:spacing w:line="360" w:lineRule="auto"/>
        <w:widowControl/>
        <w:rPr>
          <w:rFonts w:ascii="宋体" w:hAnsi="宋体" w:cs="宋体"/>
          <w:sz w:val="24"/>
        </w:rPr>
      </w:pPr>
      <w:r>
        <w:rPr>
          <w:rFonts w:ascii="宋体" w:hAnsi="宋体" w:cs="宋体"/>
          <w:sz w:val="24"/>
        </w:rPr>
      </w:r>
      <w:r/>
    </w:p>
    <w:p>
      <w:pPr>
        <w:jc w:val="left"/>
        <w:spacing w:line="360" w:lineRule="auto"/>
        <w:widowControl/>
        <w:rPr>
          <w:rFonts w:ascii="宋体" w:hAnsi="宋体" w:cs="宋体"/>
          <w:sz w:val="24"/>
          <w:u w:val="single"/>
        </w:rPr>
      </w:pPr>
      <w:r>
        <w:rPr>
          <w:rFonts w:hint="eastAsia" w:ascii="宋体" w:hAnsi="宋体" w:cs="宋体"/>
          <w:sz w:val="24"/>
        </w:rPr>
        <w:t xml:space="preserve">项目名称：徐州市第一人民医院口服药单剂量分包机</w:t>
      </w:r>
      <w:r/>
    </w:p>
    <w:p>
      <w:pPr>
        <w:jc w:val="left"/>
        <w:spacing w:line="360" w:lineRule="auto"/>
        <w:widowControl/>
        <w:rPr>
          <w:rFonts w:hint="eastAsia" w:ascii="宋体" w:hAnsi="宋体" w:eastAsia="宋体" w:cs="宋体"/>
          <w:sz w:val="24"/>
          <w:u w:val="single"/>
          <w:lang w:eastAsia="zh-CN"/>
        </w:rPr>
      </w:pPr>
      <w:r>
        <w:rPr>
          <w:rFonts w:hint="eastAsia" w:ascii="宋体" w:hAnsi="宋体" w:cs="宋体"/>
          <w:sz w:val="24"/>
        </w:rPr>
        <w:t xml:space="preserve">项目编号：</w:t>
      </w:r>
      <w:r>
        <w:rPr>
          <w:rFonts w:hint="eastAsia" w:ascii="宋体" w:hAnsi="宋体" w:cs="宋体"/>
          <w:sz w:val="24"/>
          <w:lang w:eastAsia="zh-CN"/>
        </w:rPr>
        <w:t xml:space="preserve">JSZC-320300-JSZR-G2025-0124</w:t>
      </w:r>
      <w:r/>
    </w:p>
    <w:p>
      <w:pPr>
        <w:ind w:firstLine="480"/>
        <w:jc w:val="left"/>
        <w:spacing w:line="360" w:lineRule="auto"/>
        <w:widowControl/>
        <w:rPr>
          <w:rFonts w:ascii="宋体" w:hAnsi="宋体" w:cs="宋体"/>
          <w:sz w:val="24"/>
        </w:rPr>
      </w:pPr>
      <w:r>
        <w:rPr>
          <w:rFonts w:ascii="宋体" w:hAnsi="宋体" w:cs="宋体"/>
          <w:sz w:val="24"/>
        </w:rPr>
      </w:r>
      <w:r/>
    </w:p>
    <w:p>
      <w:pPr>
        <w:ind w:firstLine="480"/>
        <w:jc w:val="left"/>
        <w:spacing w:line="360" w:lineRule="auto"/>
        <w:widowControl/>
        <w:rPr>
          <w:rFonts w:ascii="宋体" w:hAnsi="宋体" w:cs="宋体"/>
          <w:sz w:val="24"/>
        </w:rPr>
      </w:pPr>
      <w:r>
        <w:rPr>
          <w:rFonts w:hint="eastAsia" w:ascii="宋体" w:hAnsi="宋体" w:cs="宋体"/>
          <w:sz w:val="24"/>
        </w:rPr>
        <w:t xml:space="preserve">我单位郑重声明：我单位具备履行合同（项目名称：徐州市第一人民医院口服药单剂量分包机，项目编号：</w:t>
      </w:r>
      <w:r>
        <w:rPr>
          <w:rFonts w:hint="eastAsia" w:ascii="宋体" w:hAnsi="宋体" w:cs="宋体"/>
          <w:sz w:val="24"/>
          <w:lang w:eastAsia="zh-CN"/>
        </w:rPr>
        <w:t xml:space="preserve">JSZC-320300-JSZR-G2025-0124</w:t>
      </w:r>
      <w:r>
        <w:rPr>
          <w:rFonts w:hint="eastAsia" w:ascii="宋体" w:hAnsi="宋体" w:cs="宋体"/>
          <w:sz w:val="24"/>
        </w:rPr>
        <w:t xml:space="preserve">）所必需的设备和专业技术能力。</w:t>
      </w:r>
      <w:r/>
    </w:p>
    <w:p>
      <w:pPr>
        <w:ind w:firstLine="480"/>
        <w:rPr>
          <w:rFonts w:ascii="宋体" w:hAnsi="宋体" w:cs="宋体"/>
          <w:sz w:val="24"/>
        </w:rPr>
      </w:pPr>
      <w:r>
        <w:rPr>
          <w:rFonts w:ascii="宋体" w:hAnsi="宋体" w:cs="宋体"/>
          <w:sz w:val="24"/>
        </w:rPr>
      </w:r>
      <w:r/>
    </w:p>
    <w:p>
      <w:r/>
      <w:r/>
    </w:p>
    <w:p>
      <w:r/>
      <w:r/>
    </w:p>
    <w:p>
      <w:r/>
      <w:r/>
    </w:p>
    <w:p>
      <w:r/>
      <w:r/>
    </w:p>
    <w:p>
      <w:r/>
      <w:r/>
    </w:p>
    <w:p>
      <w:pPr>
        <w:pStyle w:val="839"/>
      </w:pPr>
      <w:r/>
      <w:r/>
    </w:p>
    <w:p>
      <w:pPr>
        <w:ind w:firstLine="480"/>
        <w:spacing w:line="360" w:lineRule="auto"/>
        <w:rPr>
          <w:rFonts w:ascii="宋体" w:hAnsi="宋体" w:cs="宋体"/>
          <w:sz w:val="24"/>
        </w:rPr>
      </w:pPr>
      <w:r>
        <w:rPr>
          <w:rFonts w:hint="eastAsia" w:ascii="宋体" w:hAnsi="宋体" w:cs="宋体"/>
          <w:sz w:val="24"/>
        </w:rPr>
        <w:t xml:space="preserve">特此声明。</w:t>
      </w:r>
      <w:r/>
    </w:p>
    <w:p>
      <w:pPr>
        <w:ind w:firstLine="480"/>
        <w:spacing w:line="360" w:lineRule="auto"/>
        <w:rPr>
          <w:rFonts w:ascii="宋体" w:hAnsi="宋体" w:cs="宋体"/>
          <w:sz w:val="24"/>
        </w:rPr>
      </w:pPr>
      <w:r>
        <w:rPr>
          <w:rFonts w:hint="eastAsia" w:ascii="宋体" w:hAnsi="宋体" w:cs="宋体"/>
          <w:sz w:val="24"/>
        </w:rPr>
        <w:t xml:space="preserve">我单位对上述声明的真实性负责。如有虚假，将依法承担相应责任。</w:t>
      </w:r>
      <w:r/>
    </w:p>
    <w:p>
      <w:pPr>
        <w:rPr>
          <w:rFonts w:ascii="宋体" w:hAnsi="宋体" w:cs="宋体"/>
          <w:sz w:val="24"/>
        </w:rPr>
      </w:pPr>
      <w:r>
        <w:rPr>
          <w:rFonts w:ascii="宋体" w:hAnsi="宋体" w:cs="宋体"/>
          <w:sz w:val="24"/>
        </w:rPr>
      </w:r>
      <w:r/>
    </w:p>
    <w:p>
      <w:pPr>
        <w:ind w:firstLine="3000"/>
        <w:spacing w:line="300" w:lineRule="auto"/>
        <w:rPr>
          <w:rFonts w:ascii="宋体" w:hAnsi="宋体" w:cs="宋体"/>
          <w:sz w:val="24"/>
        </w:rPr>
      </w:pPr>
      <w:r>
        <w:rPr>
          <w:rFonts w:ascii="宋体" w:hAnsi="宋体" w:cs="宋体"/>
          <w:sz w:val="24"/>
        </w:rPr>
      </w:r>
      <w:r/>
    </w:p>
    <w:p>
      <w:pPr>
        <w:ind w:firstLine="3000"/>
        <w:spacing w:line="300" w:lineRule="auto"/>
        <w:rPr>
          <w:rFonts w:ascii="宋体" w:hAnsi="宋体" w:cs="宋体"/>
          <w:sz w:val="24"/>
        </w:rPr>
      </w:pPr>
      <w:r>
        <w:rPr>
          <w:rFonts w:hint="eastAsia" w:ascii="宋体" w:hAnsi="宋体" w:cs="宋体"/>
          <w:sz w:val="24"/>
        </w:rPr>
        <w:t xml:space="preserve"> 投标人：</w:t>
      </w:r>
      <w:r>
        <w:rPr>
          <w:rFonts w:hint="eastAsia" w:ascii="宋体" w:hAnsi="宋体" w:cs="宋体"/>
          <w:sz w:val="24"/>
          <w:u w:val="single"/>
        </w:rPr>
        <w:t xml:space="preserve">           </w:t>
      </w:r>
      <w:r>
        <w:rPr>
          <w:rFonts w:hint="eastAsia" w:ascii="宋体" w:hAnsi="宋体" w:cs="宋体"/>
          <w:sz w:val="24"/>
        </w:rPr>
        <w:t xml:space="preserve">（盖电子签章）</w:t>
      </w:r>
      <w:r/>
    </w:p>
    <w:p>
      <w:pPr>
        <w:ind w:firstLine="480"/>
        <w:spacing w:line="300" w:lineRule="auto"/>
        <w:rPr>
          <w:rFonts w:ascii="宋体" w:hAnsi="宋体" w:cs="宋体"/>
          <w:sz w:val="24"/>
        </w:rPr>
      </w:pPr>
      <w:r>
        <w:rPr>
          <w:rFonts w:hint="eastAsia" w:ascii="宋体" w:hAnsi="宋体" w:cs="宋体"/>
          <w:sz w:val="24"/>
        </w:rPr>
        <w:t xml:space="preserve">                      </w:t>
      </w:r>
      <w:r/>
    </w:p>
    <w:p>
      <w:pPr>
        <w:ind w:firstLine="3120"/>
        <w:spacing w:line="360" w:lineRule="auto"/>
        <w:rPr>
          <w:rFonts w:ascii="宋体" w:hAnsi="宋体" w:cs="宋体"/>
          <w:sz w:val="24"/>
        </w:rPr>
      </w:pPr>
      <w:r>
        <w:rPr>
          <w:rFonts w:hint="eastAsia" w:ascii="宋体" w:hAnsi="宋体" w:cs="宋体"/>
          <w:sz w:val="24"/>
        </w:rPr>
        <w:t xml:space="preserve">日期：   年  月  日</w:t>
      </w:r>
      <w:r/>
    </w:p>
    <w:p>
      <w:pPr>
        <w:jc w:val="center"/>
        <w:spacing w:line="479" w:lineRule="atLeast"/>
        <w:rPr>
          <w:rFonts w:ascii="宋体" w:hAnsi="宋体" w:cs="宋体"/>
          <w:b/>
          <w:bCs/>
          <w:sz w:val="28"/>
          <w:szCs w:val="28"/>
        </w:rPr>
        <w:pBdr>
          <w:top w:val="none" w:color="000000" w:sz="0" w:space="0"/>
          <w:left w:val="none" w:color="000000" w:sz="0" w:space="0"/>
          <w:bottom w:val="none" w:color="000000" w:sz="0" w:space="0"/>
          <w:right w:val="none" w:color="000000" w:sz="0" w:space="0"/>
        </w:pBdr>
      </w:pPr>
      <w:r>
        <w:rPr>
          <w:rFonts w:ascii="宋体" w:hAnsi="宋体" w:cs="宋体"/>
          <w:b/>
          <w:bCs/>
          <w:sz w:val="28"/>
          <w:szCs w:val="28"/>
        </w:rPr>
      </w:r>
      <w:r/>
    </w:p>
    <w:p>
      <w:pPr>
        <w:jc w:val="center"/>
        <w:spacing w:line="479" w:lineRule="atLeast"/>
        <w:rPr>
          <w:rFonts w:ascii="宋体" w:hAnsi="宋体" w:cs="宋体"/>
          <w:b/>
          <w:bCs/>
          <w:sz w:val="28"/>
          <w:szCs w:val="28"/>
        </w:rPr>
        <w:pBdr>
          <w:top w:val="none" w:color="000000" w:sz="0" w:space="0"/>
          <w:left w:val="none" w:color="000000" w:sz="0" w:space="0"/>
          <w:bottom w:val="none" w:color="000000" w:sz="0" w:space="0"/>
          <w:right w:val="none" w:color="000000" w:sz="0" w:space="0"/>
        </w:pBdr>
      </w:pPr>
      <w:r>
        <w:rPr>
          <w:rFonts w:ascii="宋体" w:hAnsi="宋体" w:cs="宋体"/>
          <w:b/>
          <w:bCs/>
          <w:sz w:val="28"/>
          <w:szCs w:val="28"/>
        </w:rPr>
      </w:r>
      <w:r/>
    </w:p>
    <w:p>
      <w:pPr>
        <w:jc w:val="center"/>
        <w:spacing w:line="479" w:lineRule="atLeast"/>
        <w:rPr>
          <w:rFonts w:ascii="宋体" w:hAnsi="宋体" w:cs="宋体"/>
          <w:b/>
          <w:bCs/>
          <w:sz w:val="28"/>
          <w:szCs w:val="28"/>
        </w:rPr>
        <w:pBdr>
          <w:top w:val="none" w:color="000000" w:sz="0" w:space="0"/>
          <w:left w:val="none" w:color="000000" w:sz="0" w:space="0"/>
          <w:bottom w:val="none" w:color="000000" w:sz="0" w:space="0"/>
          <w:right w:val="none" w:color="000000" w:sz="0" w:space="0"/>
        </w:pBdr>
      </w:pPr>
      <w:r>
        <w:rPr>
          <w:rFonts w:ascii="宋体" w:hAnsi="宋体" w:cs="宋体"/>
          <w:b/>
          <w:bCs/>
          <w:sz w:val="28"/>
          <w:szCs w:val="28"/>
        </w:rPr>
      </w:r>
      <w:r/>
    </w:p>
    <w:p>
      <w:pPr>
        <w:jc w:val="center"/>
        <w:spacing w:line="479" w:lineRule="atLeast"/>
        <w:rPr>
          <w:rFonts w:ascii="宋体" w:hAnsi="宋体" w:cs="宋体"/>
          <w:b/>
          <w:bCs/>
          <w:sz w:val="28"/>
          <w:szCs w:val="28"/>
        </w:rPr>
        <w:pBdr>
          <w:top w:val="none" w:color="000000" w:sz="0" w:space="0"/>
          <w:left w:val="none" w:color="000000" w:sz="0" w:space="0"/>
          <w:bottom w:val="none" w:color="000000" w:sz="0" w:space="0"/>
          <w:right w:val="none" w:color="000000" w:sz="0" w:space="0"/>
        </w:pBdr>
      </w:pPr>
      <w:r>
        <w:rPr>
          <w:rFonts w:ascii="宋体" w:hAnsi="宋体" w:cs="宋体"/>
          <w:b/>
          <w:bCs/>
          <w:sz w:val="28"/>
          <w:szCs w:val="28"/>
        </w:rPr>
      </w:r>
      <w:r/>
    </w:p>
    <w:p>
      <w:pPr>
        <w:jc w:val="center"/>
        <w:spacing w:line="479" w:lineRule="atLeast"/>
        <w:rPr>
          <w:rFonts w:ascii="宋体" w:hAnsi="宋体" w:cs="宋体"/>
          <w:b/>
          <w:bCs/>
          <w:sz w:val="28"/>
          <w:szCs w:val="28"/>
        </w:rPr>
        <w:pBdr>
          <w:top w:val="none" w:color="000000" w:sz="0" w:space="0"/>
          <w:left w:val="none" w:color="000000" w:sz="0" w:space="0"/>
          <w:bottom w:val="none" w:color="000000" w:sz="0" w:space="0"/>
          <w:right w:val="none" w:color="000000" w:sz="0" w:space="0"/>
        </w:pBdr>
      </w:pPr>
      <w:r>
        <w:rPr>
          <w:rFonts w:ascii="宋体" w:hAnsi="宋体" w:cs="宋体"/>
          <w:b/>
          <w:bCs/>
          <w:sz w:val="28"/>
          <w:szCs w:val="28"/>
        </w:rPr>
      </w:r>
      <w:r/>
    </w:p>
    <w:p>
      <w:pPr>
        <w:jc w:val="center"/>
        <w:spacing w:line="479" w:lineRule="atLeast"/>
        <w:rPr>
          <w:rFonts w:ascii="宋体" w:hAnsi="宋体" w:cs="宋体"/>
          <w:b/>
          <w:bCs/>
          <w:sz w:val="28"/>
          <w:szCs w:val="28"/>
        </w:rPr>
        <w:pBdr>
          <w:top w:val="none" w:color="000000" w:sz="0" w:space="0"/>
          <w:left w:val="none" w:color="000000" w:sz="0" w:space="0"/>
          <w:bottom w:val="none" w:color="000000" w:sz="0" w:space="0"/>
          <w:right w:val="none" w:color="000000" w:sz="0" w:space="0"/>
        </w:pBdr>
      </w:pPr>
      <w:r>
        <w:rPr>
          <w:rFonts w:ascii="宋体" w:hAnsi="宋体" w:cs="宋体"/>
          <w:b/>
          <w:bCs/>
          <w:sz w:val="28"/>
          <w:szCs w:val="28"/>
        </w:rPr>
      </w:r>
      <w:r/>
    </w:p>
    <w:p>
      <w:pPr>
        <w:jc w:val="left"/>
        <w:spacing w:line="479" w:lineRule="atLeast"/>
        <w:rPr>
          <w:rFonts w:ascii="宋体" w:hAnsi="宋体" w:cs="宋体"/>
          <w:b/>
          <w:bCs/>
          <w:sz w:val="28"/>
          <w:szCs w:val="28"/>
        </w:rPr>
        <w:pBdr>
          <w:top w:val="none" w:color="000000" w:sz="0" w:space="0"/>
          <w:left w:val="none" w:color="000000" w:sz="0" w:space="0"/>
          <w:bottom w:val="none" w:color="000000" w:sz="0" w:space="0"/>
          <w:right w:val="none" w:color="000000" w:sz="0" w:space="0"/>
        </w:pBdr>
      </w:pPr>
      <w:r>
        <w:rPr>
          <w:rFonts w:ascii="宋体" w:hAnsi="宋体" w:cs="宋体"/>
          <w:b/>
          <w:bCs/>
          <w:sz w:val="28"/>
          <w:szCs w:val="28"/>
        </w:rPr>
      </w:r>
      <w:r/>
    </w:p>
    <w:p>
      <w:r/>
      <w:r/>
    </w:p>
    <w:p>
      <w:pPr>
        <w:pStyle w:val="839"/>
        <w:rPr>
          <w:rFonts w:ascii="宋体" w:hAnsi="宋体" w:cs="宋体"/>
          <w:b/>
          <w:bCs/>
          <w:sz w:val="28"/>
          <w:szCs w:val="28"/>
        </w:rPr>
      </w:pPr>
      <w:r>
        <w:rPr>
          <w:rFonts w:ascii="宋体" w:hAnsi="宋体" w:cs="宋体"/>
          <w:b/>
          <w:bCs/>
          <w:sz w:val="28"/>
          <w:szCs w:val="28"/>
        </w:rPr>
      </w:r>
      <w:r/>
    </w:p>
    <w:p>
      <w:r/>
      <w:r/>
    </w:p>
    <w:p>
      <w:pPr>
        <w:jc w:val="center"/>
        <w:spacing w:line="479" w:lineRule="atLeast"/>
        <w:rPr>
          <w:rFonts w:ascii="宋体" w:hAnsi="宋体" w:cs="宋体"/>
          <w:b/>
          <w:bCs/>
          <w:sz w:val="28"/>
          <w:szCs w:val="28"/>
        </w:rPr>
        <w:pBdr>
          <w:top w:val="none" w:color="000000" w:sz="0" w:space="0"/>
          <w:left w:val="none" w:color="000000" w:sz="0" w:space="0"/>
          <w:bottom w:val="none" w:color="000000" w:sz="0" w:space="0"/>
          <w:right w:val="none" w:color="000000" w:sz="0" w:space="0"/>
        </w:pBdr>
      </w:pPr>
      <w:r>
        <w:rPr>
          <w:rFonts w:ascii="宋体" w:hAnsi="宋体" w:cs="宋体"/>
          <w:b/>
          <w:bCs/>
          <w:sz w:val="28"/>
          <w:szCs w:val="28"/>
        </w:rPr>
      </w:r>
      <w:r/>
    </w:p>
    <w:p>
      <w:pPr>
        <w:jc w:val="center"/>
        <w:spacing w:line="479" w:lineRule="atLeast"/>
        <w:rPr>
          <w:rFonts w:ascii="宋体" w:hAnsi="宋体" w:cs="宋体"/>
          <w:b/>
          <w:bCs/>
          <w:sz w:val="28"/>
          <w:szCs w:val="28"/>
        </w:rPr>
        <w:pBdr>
          <w:top w:val="none" w:color="000000" w:sz="0" w:space="0"/>
          <w:left w:val="none" w:color="000000" w:sz="0" w:space="0"/>
          <w:bottom w:val="none" w:color="000000" w:sz="0" w:space="0"/>
          <w:right w:val="none" w:color="000000" w:sz="0" w:space="0"/>
        </w:pBdr>
      </w:pPr>
      <w:r>
        <w:rPr>
          <w:rFonts w:ascii="宋体" w:hAnsi="宋体" w:cs="宋体"/>
          <w:b/>
          <w:bCs/>
          <w:sz w:val="28"/>
          <w:szCs w:val="28"/>
        </w:rPr>
      </w:r>
      <w:r/>
    </w:p>
    <w:p>
      <w:pPr>
        <w:jc w:val="center"/>
        <w:spacing w:line="479" w:lineRule="atLeast"/>
        <w:rPr>
          <w:rFonts w:ascii="宋体" w:hAnsi="宋体" w:cs="宋体"/>
          <w:b/>
          <w:bCs/>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b/>
          <w:bCs/>
          <w:sz w:val="28"/>
          <w:szCs w:val="28"/>
        </w:rPr>
        <w:t xml:space="preserve">十、预付款保函支付条款模板</w:t>
      </w:r>
      <w:r/>
    </w:p>
    <w:p>
      <w:pPr>
        <w:ind w:firstLine="605"/>
        <w:spacing w:line="479" w:lineRule="atLeast"/>
        <w:rPr>
          <w:rFonts w:ascii="宋体" w:hAnsi="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b/>
          <w:sz w:val="28"/>
          <w:szCs w:val="28"/>
        </w:rPr>
        <w:t xml:space="preserve">符合条件一：提交预付款保函的</w:t>
      </w:r>
      <w:r/>
    </w:p>
    <w:p>
      <w:pPr>
        <w:ind w:firstLine="602"/>
        <w:spacing w:line="479" w:lineRule="atLeas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（1）合同签订且乙方向甲方出具预付款保函后</w:t>
      </w:r>
      <w:r>
        <w:rPr>
          <w:rFonts w:hint="eastAsia" w:ascii="宋体" w:hAnsi="宋体" w:cs="宋体"/>
          <w:sz w:val="24"/>
          <w:u w:val="single"/>
        </w:rPr>
        <w:t xml:space="preserve">    </w:t>
      </w:r>
      <w:r>
        <w:rPr>
          <w:rFonts w:hint="eastAsia" w:ascii="宋体" w:hAnsi="宋体" w:cs="宋体"/>
          <w:sz w:val="24"/>
        </w:rPr>
        <w:t xml:space="preserve">个工作日内，甲方应支付合同价款的百分之</w:t>
      </w:r>
      <w:r>
        <w:rPr>
          <w:rFonts w:hint="eastAsia" w:ascii="宋体" w:hAnsi="宋体" w:cs="宋体"/>
          <w:sz w:val="24"/>
          <w:u w:val="single"/>
        </w:rPr>
        <w:t xml:space="preserve">        XX（    XX%），</w:t>
      </w:r>
      <w:r>
        <w:rPr>
          <w:rFonts w:hint="eastAsia" w:ascii="宋体" w:hAnsi="宋体" w:cs="宋体"/>
          <w:sz w:val="24"/>
        </w:rPr>
        <w:t xml:space="preserve">小写￥</w:t>
      </w:r>
      <w:r>
        <w:rPr>
          <w:rFonts w:hint="eastAsia" w:ascii="宋体" w:hAnsi="宋体" w:cs="宋体"/>
          <w:sz w:val="24"/>
          <w:u w:val="single"/>
        </w:rPr>
        <w:t xml:space="preserve">      </w:t>
      </w:r>
      <w:r>
        <w:rPr>
          <w:rFonts w:hint="eastAsia" w:ascii="宋体" w:hAnsi="宋体" w:cs="宋体"/>
          <w:sz w:val="24"/>
        </w:rPr>
        <w:t xml:space="preserve">大写：人民币</w:t>
      </w:r>
      <w:r>
        <w:rPr>
          <w:rFonts w:hint="eastAsia" w:ascii="宋体" w:hAnsi="宋体" w:cs="宋体"/>
          <w:sz w:val="24"/>
          <w:u w:val="single"/>
        </w:rPr>
        <w:t xml:space="preserve">          </w:t>
      </w:r>
      <w:r>
        <w:rPr>
          <w:rFonts w:hint="eastAsia" w:ascii="宋体" w:hAnsi="宋体" w:cs="宋体"/>
          <w:sz w:val="24"/>
        </w:rPr>
        <w:t xml:space="preserve">。</w:t>
      </w:r>
      <w:r/>
    </w:p>
    <w:p>
      <w:pPr>
        <w:ind w:left="140" w:firstLine="602"/>
        <w:spacing w:line="479" w:lineRule="atLeas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乙方需提交的支付文件：乙方出具的全额正式发票。</w:t>
      </w:r>
      <w:r/>
    </w:p>
    <w:p>
      <w:pPr>
        <w:ind w:left="140" w:firstLine="602"/>
        <w:spacing w:line="479" w:lineRule="atLeas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（2）验收合格后</w:t>
      </w:r>
      <w:r>
        <w:rPr>
          <w:rFonts w:hint="eastAsia" w:ascii="宋体" w:hAnsi="宋体" w:cs="宋体"/>
          <w:sz w:val="24"/>
          <w:u w:val="single"/>
        </w:rPr>
        <w:t xml:space="preserve">   </w:t>
      </w:r>
      <w:r>
        <w:rPr>
          <w:rFonts w:hint="eastAsia" w:ascii="宋体" w:hAnsi="宋体" w:cs="宋体"/>
          <w:sz w:val="24"/>
        </w:rPr>
        <w:t xml:space="preserve">个工作日内，甲方应支付合同价款的百分之</w:t>
      </w:r>
      <w:r>
        <w:rPr>
          <w:rFonts w:hint="eastAsia" w:ascii="宋体" w:hAnsi="宋体" w:cs="宋体"/>
          <w:sz w:val="24"/>
          <w:u w:val="single"/>
        </w:rPr>
        <w:t xml:space="preserve">XX（    XX%），</w:t>
      </w:r>
      <w:r>
        <w:rPr>
          <w:rFonts w:hint="eastAsia" w:ascii="宋体" w:hAnsi="宋体" w:cs="宋体"/>
          <w:sz w:val="24"/>
        </w:rPr>
        <w:t xml:space="preserve">小写￥</w:t>
      </w:r>
      <w:r>
        <w:rPr>
          <w:rFonts w:hint="eastAsia" w:ascii="宋体" w:hAnsi="宋体" w:cs="宋体"/>
          <w:sz w:val="24"/>
          <w:u w:val="single"/>
        </w:rPr>
        <w:t xml:space="preserve">      </w:t>
      </w:r>
      <w:r>
        <w:rPr>
          <w:rFonts w:hint="eastAsia" w:ascii="宋体" w:hAnsi="宋体" w:cs="宋体"/>
          <w:sz w:val="24"/>
        </w:rPr>
        <w:t xml:space="preserve">大写：人民币</w:t>
      </w:r>
      <w:r>
        <w:rPr>
          <w:rFonts w:hint="eastAsia" w:ascii="宋体" w:hAnsi="宋体" w:cs="宋体"/>
          <w:sz w:val="24"/>
          <w:u w:val="single"/>
        </w:rPr>
        <w:t xml:space="preserve">          </w:t>
      </w:r>
      <w:r>
        <w:rPr>
          <w:rFonts w:hint="eastAsia" w:ascii="宋体" w:hAnsi="宋体" w:cs="宋体"/>
          <w:sz w:val="24"/>
        </w:rPr>
        <w:t xml:space="preserve">。</w:t>
      </w:r>
      <w:r/>
    </w:p>
    <w:p>
      <w:pPr>
        <w:ind w:firstLine="605"/>
        <w:spacing w:line="479" w:lineRule="atLeast"/>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b/>
          <w:sz w:val="30"/>
        </w:rPr>
        <w:t xml:space="preserve">……</w:t>
      </w:r>
      <w:r/>
    </w:p>
    <w:p>
      <w:pPr>
        <w:ind w:firstLine="605"/>
        <w:spacing w:line="479" w:lineRule="atLeast"/>
        <w:rPr>
          <w:rFonts w:ascii="宋体" w:hAnsi="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b/>
          <w:sz w:val="28"/>
          <w:szCs w:val="28"/>
        </w:rPr>
        <w:t xml:space="preserve">符合条件二：不提交预付款保函的</w:t>
      </w:r>
      <w:r/>
    </w:p>
    <w:p>
      <w:pPr>
        <w:ind w:firstLine="602"/>
        <w:spacing w:line="479" w:lineRule="atLeas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（1）合同签订后</w:t>
      </w:r>
      <w:r>
        <w:rPr>
          <w:rFonts w:hint="eastAsia" w:ascii="宋体" w:hAnsi="宋体" w:cs="宋体"/>
          <w:sz w:val="24"/>
          <w:u w:val="single"/>
        </w:rPr>
        <w:t xml:space="preserve">   </w:t>
      </w:r>
      <w:r>
        <w:rPr>
          <w:rFonts w:hint="eastAsia" w:ascii="宋体" w:hAnsi="宋体" w:cs="宋体"/>
          <w:sz w:val="24"/>
        </w:rPr>
        <w:t xml:space="preserve">个工作日内，甲方应支付合同价款的百分之</w:t>
      </w:r>
      <w:r>
        <w:rPr>
          <w:rFonts w:hint="eastAsia" w:ascii="宋体" w:hAnsi="宋体" w:cs="宋体"/>
          <w:sz w:val="24"/>
          <w:u w:val="single"/>
        </w:rPr>
        <w:t xml:space="preserve">XX（    XX%），</w:t>
      </w:r>
      <w:r>
        <w:rPr>
          <w:rFonts w:hint="eastAsia" w:ascii="宋体" w:hAnsi="宋体" w:cs="宋体"/>
          <w:sz w:val="24"/>
        </w:rPr>
        <w:t xml:space="preserve">小写￥</w:t>
      </w:r>
      <w:r>
        <w:rPr>
          <w:rFonts w:hint="eastAsia" w:ascii="宋体" w:hAnsi="宋体" w:cs="宋体"/>
          <w:sz w:val="24"/>
          <w:u w:val="single"/>
        </w:rPr>
        <w:t xml:space="preserve">      </w:t>
      </w:r>
      <w:r>
        <w:rPr>
          <w:rFonts w:hint="eastAsia" w:ascii="宋体" w:hAnsi="宋体" w:cs="宋体"/>
          <w:sz w:val="24"/>
        </w:rPr>
        <w:t xml:space="preserve">大写：人民币</w:t>
      </w:r>
      <w:r>
        <w:rPr>
          <w:rFonts w:hint="eastAsia" w:ascii="宋体" w:hAnsi="宋体" w:cs="宋体"/>
          <w:sz w:val="24"/>
          <w:u w:val="single"/>
        </w:rPr>
        <w:t xml:space="preserve">          </w:t>
      </w:r>
      <w:r>
        <w:rPr>
          <w:rFonts w:hint="eastAsia" w:ascii="宋体" w:hAnsi="宋体" w:cs="宋体"/>
          <w:sz w:val="24"/>
        </w:rPr>
        <w:t xml:space="preserve">。</w:t>
      </w:r>
      <w:r/>
    </w:p>
    <w:p>
      <w:pPr>
        <w:ind w:left="140" w:firstLine="602"/>
        <w:spacing w:line="479" w:lineRule="atLeas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乙方需提交的支付文件：乙方出具的全额正式发票。</w:t>
      </w:r>
      <w:r/>
    </w:p>
    <w:p>
      <w:pPr>
        <w:ind w:left="140" w:firstLine="602"/>
        <w:spacing w:line="479" w:lineRule="atLeas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（2）验收合格后</w:t>
      </w:r>
      <w:r>
        <w:rPr>
          <w:rFonts w:hint="eastAsia" w:ascii="宋体" w:hAnsi="宋体" w:cs="宋体"/>
          <w:sz w:val="24"/>
          <w:u w:val="single"/>
        </w:rPr>
        <w:t xml:space="preserve">   </w:t>
      </w:r>
      <w:r>
        <w:rPr>
          <w:rFonts w:hint="eastAsia" w:ascii="宋体" w:hAnsi="宋体" w:cs="宋体"/>
          <w:sz w:val="24"/>
        </w:rPr>
        <w:t xml:space="preserve">个工作日内，甲方应支付合同价款的百分之</w:t>
      </w:r>
      <w:r>
        <w:rPr>
          <w:rFonts w:hint="eastAsia" w:ascii="宋体" w:hAnsi="宋体" w:cs="宋体"/>
          <w:sz w:val="24"/>
          <w:u w:val="single"/>
        </w:rPr>
        <w:t xml:space="preserve">XX（    XX%），</w:t>
      </w:r>
      <w:r>
        <w:rPr>
          <w:rFonts w:hint="eastAsia" w:ascii="宋体" w:hAnsi="宋体" w:cs="宋体"/>
          <w:sz w:val="24"/>
        </w:rPr>
        <w:t xml:space="preserve">小写￥</w:t>
      </w:r>
      <w:r>
        <w:rPr>
          <w:rFonts w:hint="eastAsia" w:ascii="宋体" w:hAnsi="宋体" w:cs="宋体"/>
          <w:sz w:val="24"/>
          <w:u w:val="single"/>
        </w:rPr>
        <w:t xml:space="preserve">      </w:t>
      </w:r>
      <w:r>
        <w:rPr>
          <w:rFonts w:hint="eastAsia" w:ascii="宋体" w:hAnsi="宋体" w:cs="宋体"/>
          <w:sz w:val="24"/>
        </w:rPr>
        <w:t xml:space="preserve">大写：人民币</w:t>
      </w:r>
      <w:r>
        <w:rPr>
          <w:rFonts w:hint="eastAsia" w:ascii="宋体" w:hAnsi="宋体" w:cs="宋体"/>
          <w:sz w:val="24"/>
          <w:u w:val="single"/>
        </w:rPr>
        <w:t xml:space="preserve">          </w:t>
      </w:r>
      <w:r>
        <w:rPr>
          <w:rFonts w:hint="eastAsia" w:ascii="宋体" w:hAnsi="宋体" w:cs="宋体"/>
          <w:sz w:val="24"/>
        </w:rPr>
        <w:t xml:space="preserve">。</w:t>
      </w:r>
      <w:r/>
    </w:p>
    <w:p>
      <w:pPr>
        <w:ind w:firstLine="605"/>
        <w:spacing w:line="479" w:lineRule="atLeas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b/>
          <w:sz w:val="24"/>
        </w:rPr>
        <w:t xml:space="preserve">……</w:t>
      </w:r>
      <w:r/>
    </w:p>
    <w:p>
      <w:pPr>
        <w:spacing w:line="479" w:lineRule="atLeast"/>
        <w:rPr>
          <w:rFonts w:ascii="宋体" w:hAnsi="宋体" w:cs="宋体"/>
          <w:b/>
          <w:sz w:val="24"/>
        </w:rPr>
        <w:pBdr>
          <w:top w:val="none" w:color="000000" w:sz="0" w:space="0"/>
          <w:left w:val="none" w:color="000000" w:sz="0" w:space="0"/>
          <w:bottom w:val="none" w:color="000000" w:sz="0" w:space="0"/>
          <w:right w:val="none" w:color="000000" w:sz="0" w:space="0"/>
        </w:pBdr>
      </w:pPr>
      <w:r>
        <w:rPr>
          <w:rFonts w:ascii="宋体" w:hAnsi="宋体" w:cs="宋体"/>
          <w:b/>
          <w:sz w:val="24"/>
        </w:rPr>
      </w:r>
      <w:r/>
    </w:p>
    <w:p>
      <w:pPr>
        <w:ind w:left="140" w:firstLine="605"/>
        <w:spacing w:line="479" w:lineRule="atLeas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b/>
          <w:sz w:val="24"/>
        </w:rPr>
        <w:t xml:space="preserve">注：</w:t>
      </w:r>
      <w:r/>
    </w:p>
    <w:p>
      <w:pPr>
        <w:ind w:left="140" w:firstLine="602"/>
        <w:spacing w:line="479" w:lineRule="atLeas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1、付款条件一中，出具预付款保函后支付的合同款应当与保函金额一致。</w:t>
      </w:r>
      <w:r/>
    </w:p>
    <w:p>
      <w:pPr>
        <w:ind w:left="140" w:firstLine="602"/>
        <w:spacing w:line="479" w:lineRule="atLeas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2、付款条件二中，预付款比例设定应符合《关于做好政府采购支持企业发展有关事项的通知》（苏财购〔2020〕52号）要求。</w:t>
      </w:r>
      <w:r/>
    </w:p>
    <w:p>
      <w:pPr>
        <w:spacing w:line="479" w:lineRule="atLeas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 </w:t>
      </w:r>
      <w:r/>
    </w:p>
    <w:p>
      <w:pPr>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22"/>
        </w:rPr>
        <w:t xml:space="preserve"> </w:t>
      </w:r>
      <w:r/>
    </w:p>
    <w:p>
      <w:pPr>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22"/>
        </w:rPr>
        <w:t xml:space="preserve"> </w:t>
      </w:r>
      <w:r/>
    </w:p>
    <w:sectPr>
      <w:footnotePr/>
      <w:endnotePr/>
      <w:type w:val="nextPage"/>
      <w:pgSz w:w="11906" w:h="16838" w:orient="portrait"/>
      <w:pgMar w:top="1440" w:right="1803" w:bottom="1440" w:left="1803" w:header="851" w:footer="992" w:gutter="0"/>
      <w:pgNumType w:start="1"/>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Courier New">
    <w:panose1 w:val="02070309020205020404"/>
  </w:font>
  <w:font w:name="PMingLiU">
    <w:panose1 w:val="02020500000000000000"/>
  </w:font>
  <w:font w:name="Symbol">
    <w:panose1 w:val="05050102010706020507"/>
  </w:font>
  <w:font w:name="新宋体">
    <w:panose1 w:val="02010609030101010101"/>
  </w:font>
  <w:font w:name="Wingdings">
    <w:panose1 w:val="05000000000000000000"/>
  </w:font>
  <w:font w:name="微软简楷体">
    <w:panose1 w:val="020B0503020202020204"/>
  </w:font>
  <w:font w:name="楷体_GB2312">
    <w:panose1 w:val="02010609060101010101"/>
  </w:font>
  <w:font w:name="Calibri">
    <w:panose1 w:val="020F0502020204030204"/>
  </w:font>
  <w:font w:name="黑体">
    <w:panose1 w:val="02010609060101010101"/>
  </w:font>
  <w:font w:name="Arial">
    <w:panose1 w:val="020B0604020202020204"/>
  </w:font>
  <w:font w:name="SimSun">
    <w:panose1 w:val="02010600030101010101"/>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1"/>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1"/>
      <w:tabs>
        <w:tab w:val="left" w:pos="4912"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posOffset>2506345</wp:posOffset>
              </wp:positionH>
              <wp:positionV relativeFrom="paragraph">
                <wp:posOffset>0</wp:posOffset>
              </wp:positionV>
              <wp:extent cx="257175" cy="147955"/>
              <wp:effectExtent l="0" t="0" r="0" b="0"/>
              <wp:wrapNone/>
              <wp:docPr id="1" name="文本框 6"/>
              <wp:cNvGraphicFramePr/>
              <a:graphic xmlns:a="http://schemas.openxmlformats.org/drawingml/2006/main">
                <a:graphicData uri="http://schemas.microsoft.com/office/word/2010/wordprocessingShape">
                  <wps:wsp>
                    <wps:cNvPr id="0" name=""/>
                    <wps:cNvSpPr txBox="1"/>
                    <wps:spPr bwMode="auto">
                      <a:xfrm>
                        <a:off x="0" y="0"/>
                        <a:ext cx="257175" cy="147955"/>
                      </a:xfrm>
                      <a:prstGeom prst="rect">
                        <a:avLst/>
                      </a:prstGeom>
                      <a:noFill/>
                      <a:ln>
                        <a:noFill/>
                      </a:ln>
                    </wps:spPr>
                    <wps:txbx>
                      <w:txbxContent>
                        <w:p>
                          <w:pPr>
                            <w:pStyle w:val="981"/>
                            <w:tabs>
                              <w:tab w:val="clear" w:pos="4153" w:leader="none"/>
                              <w:tab w:val="clear" w:pos="8306" w:leader="none"/>
                            </w:tabs>
                          </w:pPr>
                          <w:r>
                            <w:fldChar w:fldCharType="begin"/>
                          </w:r>
                          <w:r>
                            <w:instrText xml:space="preserve"> PAGE  \* MERGEFORMAT </w:instrText>
                          </w:r>
                          <w:r>
                            <w:fldChar w:fldCharType="separate"/>
                          </w:r>
                          <w:r>
                            <w:t xml:space="preserve">38</w:t>
                          </w:r>
                          <w:r>
                            <w:fldChar w:fldCharType="end"/>
                          </w:r>
                          <w:r/>
                        </w:p>
                        <w:p>
                          <w:r/>
                          <w:r/>
                        </w:p>
                        <w:p>
                          <w:r/>
                          <w:r/>
                        </w:p>
                      </w:txbxContent>
                    </wps:txbx>
                    <wps:bodyPr wrap="square" lIns="0" tIns="0" rIns="0" bIns="0" upright="1"/>
                  </wps:wsp>
                </a:graphicData>
              </a:graphic>
            </wp:anchor>
          </w:drawing>
        </mc:Choice>
        <mc:Fallback>
          <w:pict>
            <v:shape id="shape 0" o:spid="_x0000_s0" o:spt="202" type="#_x0000_t202" style="position:absolute;z-index:251659264;o:allowoverlap:true;o:allowincell:true;mso-position-horizontal-relative:margin;margin-left:197.3pt;mso-position-horizontal:absolute;mso-position-vertical-relative:text;margin-top:0.0pt;mso-position-vertical:absolute;width:20.2pt;height:11.6pt;mso-wrap-distance-left:9.0pt;mso-wrap-distance-top:0.0pt;mso-wrap-distance-right:9.0pt;mso-wrap-distance-bottom:0.0pt;visibility:visible;" filled="f" stroked="f">
              <v:textbox inset="0,0,0,0">
                <w:txbxContent>
                  <w:p>
                    <w:pPr>
                      <w:pStyle w:val="981"/>
                      <w:tabs>
                        <w:tab w:val="clear" w:pos="4153" w:leader="none"/>
                        <w:tab w:val="clear" w:pos="8306" w:leader="none"/>
                      </w:tabs>
                    </w:pPr>
                    <w:r>
                      <w:fldChar w:fldCharType="begin"/>
                    </w:r>
                    <w:r>
                      <w:instrText xml:space="preserve"> PAGE  \* MERGEFORMAT </w:instrText>
                    </w:r>
                    <w:r>
                      <w:fldChar w:fldCharType="separate"/>
                    </w:r>
                    <w:r>
                      <w:t xml:space="preserve">38</w:t>
                    </w:r>
                    <w:r>
                      <w:fldChar w:fldCharType="end"/>
                    </w:r>
                    <w:r/>
                  </w:p>
                  <w:p>
                    <w:r/>
                    <w:r/>
                  </w:p>
                  <w:p>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1"/>
      <w:tabs>
        <w:tab w:val="left" w:pos="4912" w:leader="none"/>
      </w:tabs>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1"/>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3"/>
      <w:pBdr>
        <w:bottom w:val="none" w:color="000000" w:sz="0" w:space="0"/>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3"/>
      <w:jc w:val="right"/>
      <w:pBdr>
        <w:bottom w:val="single" w:color="000000" w:sz="4" w:space="0"/>
      </w:pBdr>
    </w:pPr>
    <w:r>
      <w:rPr>
        <w:rFonts w:hint="eastAsia"/>
      </w:rPr>
      <w:t xml:space="preserve">徐州市第一人民医院口服药单剂量分包机项目招标文件</w:t>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right"/>
      <w:rPr>
        <w:sz w:val="18"/>
      </w:rPr>
      <w:pBdr>
        <w:bottom w:val="single" w:color="000000" w:sz="4" w:space="0"/>
      </w:pBdr>
    </w:pPr>
    <w:r>
      <w:rPr>
        <w:rFonts w:hint="eastAsia"/>
        <w:sz w:val="18"/>
        <w:lang w:eastAsia="zh-CN"/>
      </w:rPr>
      <w:t xml:space="preserve">徐州市第一人民医院口服药单剂量分包机</w:t>
    </w:r>
    <w:r>
      <w:rPr>
        <w:rFonts w:hint="eastAsia"/>
        <w:sz w:val="18"/>
      </w:rPr>
      <w:t xml:space="preserve">招标文件</w:t>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right"/>
      <w:rPr>
        <w:sz w:val="18"/>
      </w:rPr>
      <w:pBdr>
        <w:bottom w:val="single" w:color="000000" w:sz="4" w:space="0"/>
      </w:pBdr>
    </w:pPr>
    <w:r>
      <w:rPr>
        <w:rFonts w:hint="eastAsia"/>
        <w:sz w:val="18"/>
      </w:rPr>
      <w:t xml:space="preserve">徐州市第一人民医院口服药单剂量分包机项目招标文件</w:t>
    </w:r>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right"/>
      <w:rPr>
        <w:i/>
        <w:iCs/>
        <w:sz w:val="18"/>
      </w:rPr>
      <w:pBdr>
        <w:bottom w:val="single" w:color="000000" w:sz="4" w:space="0"/>
      </w:pBdr>
    </w:pPr>
    <w:r>
      <w:rPr>
        <w:rFonts w:hint="eastAsia"/>
        <w:sz w:val="18"/>
      </w:rPr>
      <w:t xml:space="preserve">徐州市第一人民医院口服药单剂量分包机项目招标文件</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ind w:left="720" w:hanging="360"/>
        <w:tabs>
          <w:tab w:val="left" w:pos="720" w:leader="none"/>
        </w:tabs>
      </w:pPr>
    </w:lvl>
    <w:lvl w:ilvl="1">
      <w:start w:val="1"/>
      <w:numFmt w:val="lowerLetter"/>
      <w:isLgl w:val="false"/>
      <w:suff w:val="tab"/>
      <w:lvlText w:val="%2)"/>
      <w:lvlJc w:val="left"/>
      <w:pPr>
        <w:ind w:left="1200" w:hanging="420"/>
        <w:tabs>
          <w:tab w:val="left" w:pos="1200" w:leader="none"/>
        </w:tabs>
      </w:pPr>
    </w:lvl>
    <w:lvl w:ilvl="2">
      <w:start w:val="1"/>
      <w:numFmt w:val="lowerRoman"/>
      <w:isLgl w:val="false"/>
      <w:suff w:val="tab"/>
      <w:lvlText w:val="%3."/>
      <w:lvlJc w:val="right"/>
      <w:pPr>
        <w:ind w:left="1620" w:hanging="420"/>
        <w:tabs>
          <w:tab w:val="left" w:pos="1620" w:leader="none"/>
        </w:tabs>
      </w:pPr>
    </w:lvl>
    <w:lvl w:ilvl="3">
      <w:start w:val="1"/>
      <w:numFmt w:val="decimal"/>
      <w:isLgl w:val="false"/>
      <w:suff w:val="tab"/>
      <w:lvlText w:val="%4."/>
      <w:lvlJc w:val="left"/>
      <w:pPr>
        <w:ind w:left="2040" w:hanging="420"/>
        <w:tabs>
          <w:tab w:val="left" w:pos="2040" w:leader="none"/>
        </w:tabs>
      </w:pPr>
    </w:lvl>
    <w:lvl w:ilvl="4">
      <w:start w:val="1"/>
      <w:numFmt w:val="lowerLetter"/>
      <w:isLgl w:val="false"/>
      <w:suff w:val="tab"/>
      <w:lvlText w:val="%5)"/>
      <w:lvlJc w:val="left"/>
      <w:pPr>
        <w:ind w:left="2460" w:hanging="420"/>
        <w:tabs>
          <w:tab w:val="left" w:pos="2460" w:leader="none"/>
        </w:tabs>
      </w:pPr>
    </w:lvl>
    <w:lvl w:ilvl="5">
      <w:start w:val="1"/>
      <w:numFmt w:val="lowerRoman"/>
      <w:isLgl w:val="false"/>
      <w:suff w:val="tab"/>
      <w:lvlText w:val="%6."/>
      <w:lvlJc w:val="right"/>
      <w:pPr>
        <w:ind w:left="2880" w:hanging="420"/>
        <w:tabs>
          <w:tab w:val="left" w:pos="2880" w:leader="none"/>
        </w:tabs>
      </w:pPr>
    </w:lvl>
    <w:lvl w:ilvl="6">
      <w:start w:val="1"/>
      <w:numFmt w:val="decimal"/>
      <w:isLgl w:val="false"/>
      <w:suff w:val="tab"/>
      <w:lvlText w:val="%7."/>
      <w:lvlJc w:val="left"/>
      <w:pPr>
        <w:ind w:left="3300" w:hanging="420"/>
        <w:tabs>
          <w:tab w:val="left" w:pos="3300" w:leader="none"/>
        </w:tabs>
      </w:pPr>
    </w:lvl>
    <w:lvl w:ilvl="7">
      <w:start w:val="1"/>
      <w:numFmt w:val="lowerLetter"/>
      <w:isLgl w:val="false"/>
      <w:suff w:val="tab"/>
      <w:lvlText w:val="%8)"/>
      <w:lvlJc w:val="left"/>
      <w:pPr>
        <w:ind w:left="3720" w:hanging="420"/>
        <w:tabs>
          <w:tab w:val="left" w:pos="3720" w:leader="none"/>
        </w:tabs>
      </w:pPr>
    </w:lvl>
    <w:lvl w:ilvl="8">
      <w:start w:val="1"/>
      <w:numFmt w:val="lowerRoman"/>
      <w:isLgl w:val="false"/>
      <w:suff w:val="tab"/>
      <w:lvlText w:val="%9."/>
      <w:lvlJc w:val="right"/>
      <w:pPr>
        <w:ind w:left="4140" w:hanging="420"/>
        <w:tabs>
          <w:tab w:val="left" w:pos="4140" w:leader="none"/>
        </w:tabs>
      </w:pPr>
    </w:lvl>
  </w:abstractNum>
  <w:abstractNum w:abstractNumId="1">
    <w:multiLevelType w:val="hybridMultilevel"/>
    <w:lvl w:ilvl="0">
      <w:start w:val="3"/>
      <w:numFmt w:val="decimal"/>
      <w:isLgl w:val="false"/>
      <w:suff w:val="nothing"/>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2">
    <w:multiLevelType w:val="hybridMultilevel"/>
    <w:lvl w:ilvl="0">
      <w:start w:val="3"/>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nothing"/>
      <w:lvlText w:val="%1.  "/>
      <w:lvlJc w:val="left"/>
      <w:pPr>
        <w:ind w:left="0" w:firstLine="0"/>
      </w:pPr>
      <w:rPr>
        <w:rFonts w:hint="eastAsia"/>
      </w:rPr>
    </w:lvl>
    <w:lvl w:ilvl="1">
      <w:start w:val="1"/>
      <w:numFmt w:val="decimal"/>
      <w:isLgl w:val="false"/>
      <w:suff w:val="space"/>
      <w:lvlText w:val="%1.%2 "/>
      <w:lvlJc w:val="left"/>
      <w:pPr>
        <w:ind w:left="0" w:firstLine="0"/>
      </w:pPr>
      <w:rPr>
        <w:rFonts w:hint="default" w:ascii="宋体" w:hAnsi="宋体" w:eastAsia="宋体"/>
        <w:strike w:val="0"/>
        <w:sz w:val="24"/>
        <w:szCs w:val="24"/>
      </w:rPr>
    </w:lvl>
    <w:lvl w:ilvl="2">
      <w:start w:val="1"/>
      <w:numFmt w:val="decimal"/>
      <w:isLgl w:val="false"/>
      <w:suff w:val="tab"/>
      <w:lvlText w:val="%1.%2.%3."/>
      <w:lvlJc w:val="left"/>
      <w:pPr>
        <w:ind w:left="709" w:hanging="709"/>
      </w:pPr>
      <w:rPr>
        <w:rFonts w:hint="eastAsia"/>
      </w:rPr>
    </w:lvl>
    <w:lvl w:ilvl="3">
      <w:start w:val="1"/>
      <w:numFmt w:val="decimal"/>
      <w:isLgl w:val="false"/>
      <w:suff w:val="tab"/>
      <w:lvlText w:val="%1.%2.%3.%4."/>
      <w:lvlJc w:val="left"/>
      <w:pPr>
        <w:ind w:left="851" w:hanging="851"/>
      </w:pPr>
      <w:rPr>
        <w:rFonts w:hint="eastAsia"/>
      </w:rPr>
    </w:lvl>
    <w:lvl w:ilvl="4">
      <w:start w:val="1"/>
      <w:numFmt w:val="decimal"/>
      <w:isLgl w:val="false"/>
      <w:suff w:val="tab"/>
      <w:lvlText w:val="%1.%2.%3.%4.%5."/>
      <w:lvlJc w:val="left"/>
      <w:pPr>
        <w:ind w:left="992" w:hanging="992"/>
      </w:pPr>
      <w:rPr>
        <w:rFonts w:hint="eastAsia"/>
      </w:rPr>
    </w:lvl>
    <w:lvl w:ilvl="5">
      <w:start w:val="1"/>
      <w:numFmt w:val="decimal"/>
      <w:isLgl w:val="false"/>
      <w:suff w:val="tab"/>
      <w:lvlText w:val="%1.%2.%3.%4.%5.%6."/>
      <w:lvlJc w:val="left"/>
      <w:pPr>
        <w:ind w:left="1134" w:hanging="1134"/>
      </w:pPr>
      <w:rPr>
        <w:rFonts w:hint="eastAsia"/>
      </w:rPr>
    </w:lvl>
    <w:lvl w:ilvl="6">
      <w:start w:val="1"/>
      <w:numFmt w:val="decimal"/>
      <w:isLgl w:val="false"/>
      <w:suff w:val="tab"/>
      <w:lvlText w:val="%1.%2.%3.%4.%5.%6.%7."/>
      <w:lvlJc w:val="left"/>
      <w:pPr>
        <w:ind w:left="1276" w:hanging="1276"/>
      </w:pPr>
      <w:rPr>
        <w:rFonts w:hint="eastAsia"/>
      </w:rPr>
    </w:lvl>
    <w:lvl w:ilvl="7">
      <w:start w:val="1"/>
      <w:numFmt w:val="decimal"/>
      <w:isLgl w:val="false"/>
      <w:suff w:val="tab"/>
      <w:lvlText w:val="%1.%2.%3.%4.%5.%6.%7.%8."/>
      <w:lvlJc w:val="left"/>
      <w:pPr>
        <w:ind w:left="1418" w:hanging="1418"/>
      </w:pPr>
      <w:rPr>
        <w:rFonts w:hint="eastAsia"/>
      </w:rPr>
    </w:lvl>
    <w:lvl w:ilvl="8">
      <w:start w:val="1"/>
      <w:numFmt w:val="decimal"/>
      <w:isLgl w:val="false"/>
      <w:suff w:val="tab"/>
      <w:lvlText w:val="%1.%2.%3.%4.%5.%6.%7.%8.%9."/>
      <w:lvlJc w:val="left"/>
      <w:pPr>
        <w:ind w:left="1559" w:hanging="1559"/>
      </w:pPr>
      <w:rPr>
        <w:rFonts w:hint="eastAsia"/>
      </w:rPr>
    </w:lvl>
  </w:abstractNum>
  <w:abstractNum w:abstractNumId="4">
    <w:multiLevelType w:val="hybridMultilevel"/>
    <w:lvl w:ilvl="0">
      <w:start w:val="3"/>
      <w:numFmt w:val="decimal"/>
      <w:isLgl w:val="false"/>
      <w:suff w:val="tab"/>
      <w:lvlText w:val="%1、"/>
      <w:lvlJc w:val="left"/>
      <w:pPr>
        <w:ind w:left="0" w:firstLine="0"/>
      </w:pPr>
    </w:lvl>
    <w:lvl w:ilvl="1">
      <w:start w:val="1"/>
      <w:numFmt w:val="bullet"/>
      <w:isLgl w:val="false"/>
      <w:suff w:val="tab"/>
      <w:lvlText w:val="&quot;o&quot;"/>
      <w:lvlJc w:val="left"/>
      <w:pPr>
        <w:ind w:left="1440" w:hanging="360"/>
      </w:pPr>
      <w:rPr>
        <w:rFonts w:hint="default" w:ascii="Courier New" w:hAnsi="Courier New" w:eastAsia="Courier New" w:cs="Courier New"/>
      </w:rPr>
    </w:lvl>
    <w:lvl w:ilvl="2">
      <w:start w:val="1"/>
      <w:numFmt w:val="bullet"/>
      <w:isLgl w:val="false"/>
      <w:suff w:val="tab"/>
      <w:lvlText w:val="&quot;§&quot;"/>
      <w:lvlJc w:val="left"/>
      <w:pPr>
        <w:ind w:left="2160" w:hanging="360"/>
      </w:pPr>
      <w:rPr>
        <w:rFonts w:hint="default" w:ascii="Wingdings" w:hAnsi="Wingdings" w:eastAsia="Wingdings" w:cs="Wingdings"/>
      </w:rPr>
    </w:lvl>
    <w:lvl w:ilvl="3">
      <w:start w:val="1"/>
      <w:numFmt w:val="bullet"/>
      <w:isLgl w:val="false"/>
      <w:suff w:val="tab"/>
      <w:lvlText w:val="&quot;·&quot;"/>
      <w:lvlJc w:val="left"/>
      <w:pPr>
        <w:ind w:left="2880" w:hanging="360"/>
      </w:pPr>
      <w:rPr>
        <w:rFonts w:hint="default" w:ascii="Symbol" w:hAnsi="Symbol" w:eastAsia="Symbol" w:cs="Symbol"/>
      </w:rPr>
    </w:lvl>
    <w:lvl w:ilvl="4">
      <w:start w:val="1"/>
      <w:numFmt w:val="bullet"/>
      <w:isLgl w:val="false"/>
      <w:suff w:val="tab"/>
      <w:lvlText w:val="&quot;o&quot;"/>
      <w:lvlJc w:val="left"/>
      <w:pPr>
        <w:ind w:left="3600" w:hanging="360"/>
      </w:pPr>
      <w:rPr>
        <w:rFonts w:hint="default" w:ascii="Courier New" w:hAnsi="Courier New" w:eastAsia="Courier New" w:cs="Courier New"/>
      </w:rPr>
    </w:lvl>
    <w:lvl w:ilvl="5">
      <w:start w:val="1"/>
      <w:numFmt w:val="bullet"/>
      <w:isLgl w:val="false"/>
      <w:suff w:val="tab"/>
      <w:lvlText w:val="&quot;§&quot;"/>
      <w:lvlJc w:val="left"/>
      <w:pPr>
        <w:ind w:left="4320" w:hanging="360"/>
      </w:pPr>
      <w:rPr>
        <w:rFonts w:hint="default" w:ascii="Wingdings" w:hAnsi="Wingdings" w:eastAsia="Wingdings" w:cs="Wingdings"/>
      </w:rPr>
    </w:lvl>
    <w:lvl w:ilvl="6">
      <w:start w:val="1"/>
      <w:numFmt w:val="bullet"/>
      <w:isLgl w:val="false"/>
      <w:suff w:val="tab"/>
      <w:lvlText w:val="&quot;·&quot;"/>
      <w:lvlJc w:val="left"/>
      <w:pPr>
        <w:ind w:left="5040" w:hanging="360"/>
      </w:pPr>
      <w:rPr>
        <w:rFonts w:hint="default" w:ascii="Symbol" w:hAnsi="Symbol" w:eastAsia="Symbol" w:cs="Symbol"/>
      </w:rPr>
    </w:lvl>
    <w:lvl w:ilvl="7">
      <w:start w:val="1"/>
      <w:numFmt w:val="bullet"/>
      <w:isLgl w:val="false"/>
      <w:suff w:val="tab"/>
      <w:lvlText w:val="&quot;o&quot;"/>
      <w:lvlJc w:val="left"/>
      <w:pPr>
        <w:ind w:left="5760" w:hanging="360"/>
      </w:pPr>
      <w:rPr>
        <w:rFonts w:hint="default" w:ascii="Courier New" w:hAnsi="Courier New" w:eastAsia="Courier New" w:cs="Courier New"/>
      </w:rPr>
    </w:lvl>
    <w:lvl w:ilvl="8">
      <w:start w:val="1"/>
      <w:numFmt w:val="bullet"/>
      <w:isLgl w:val="false"/>
      <w:suff w:val="tab"/>
      <w:lvlText w:val="&quot;§&quot;"/>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tab"/>
      <w:lvlText w:val="%1.  "/>
      <w:lvlJc w:val="left"/>
      <w:pPr>
        <w:ind w:left="0" w:firstLine="0"/>
      </w:pPr>
      <w:rPr>
        <w:rFonts w:ascii="SimSun" w:hAnsi="SimSun" w:eastAsia="SimSun" w:cs="SimSun"/>
      </w:rPr>
    </w:lvl>
    <w:lvl w:ilvl="1">
      <w:start w:val="1"/>
      <w:numFmt w:val="decimal"/>
      <w:isLgl w:val="false"/>
      <w:suff w:val="tab"/>
      <w:lvlText w:val="%1.%2 "/>
      <w:lvlJc w:val="left"/>
      <w:pPr>
        <w:ind w:left="0" w:firstLine="0"/>
      </w:pPr>
      <w:rPr>
        <w:rFonts w:ascii="SimSun" w:hAnsi="SimSun" w:eastAsia="SimSun" w:cs="SimSun"/>
        <w:sz w:val="24"/>
      </w:rPr>
    </w:lvl>
    <w:lvl w:ilvl="2">
      <w:start w:val="1"/>
      <w:numFmt w:val="decimal"/>
      <w:isLgl w:val="false"/>
      <w:suff w:val="tab"/>
      <w:lvlText w:val="%1.%2.%3."/>
      <w:lvlJc w:val="left"/>
      <w:pPr>
        <w:ind w:left="709" w:hanging="709"/>
      </w:pPr>
      <w:rPr>
        <w:rFonts w:ascii="SimSun" w:hAnsi="SimSun" w:eastAsia="SimSun" w:cs="SimSun"/>
      </w:rPr>
    </w:lvl>
    <w:lvl w:ilvl="3">
      <w:start w:val="1"/>
      <w:numFmt w:val="decimal"/>
      <w:isLgl w:val="false"/>
      <w:suff w:val="tab"/>
      <w:lvlText w:val="%1.%2.%3.%4."/>
      <w:lvlJc w:val="left"/>
      <w:pPr>
        <w:ind w:left="851" w:hanging="851"/>
      </w:pPr>
      <w:rPr>
        <w:rFonts w:ascii="SimSun" w:hAnsi="SimSun" w:eastAsia="SimSun" w:cs="SimSun"/>
      </w:rPr>
    </w:lvl>
    <w:lvl w:ilvl="4">
      <w:start w:val="1"/>
      <w:numFmt w:val="decimal"/>
      <w:isLgl w:val="false"/>
      <w:suff w:val="tab"/>
      <w:lvlText w:val="%1.%2.%3.%4.%5."/>
      <w:lvlJc w:val="left"/>
      <w:pPr>
        <w:ind w:left="992" w:hanging="992"/>
      </w:pPr>
      <w:rPr>
        <w:rFonts w:ascii="SimSun" w:hAnsi="SimSun" w:eastAsia="SimSun" w:cs="SimSun"/>
      </w:rPr>
    </w:lvl>
    <w:lvl w:ilvl="5">
      <w:start w:val="1"/>
      <w:numFmt w:val="decimal"/>
      <w:isLgl w:val="false"/>
      <w:suff w:val="tab"/>
      <w:lvlText w:val="%1.%2.%3.%4.%5.%6."/>
      <w:lvlJc w:val="left"/>
      <w:pPr>
        <w:ind w:left="1134" w:hanging="1134"/>
      </w:pPr>
      <w:rPr>
        <w:rFonts w:ascii="SimSun" w:hAnsi="SimSun" w:eastAsia="SimSun" w:cs="SimSun"/>
      </w:rPr>
    </w:lvl>
    <w:lvl w:ilvl="6">
      <w:start w:val="1"/>
      <w:numFmt w:val="decimal"/>
      <w:isLgl w:val="false"/>
      <w:suff w:val="tab"/>
      <w:lvlText w:val="%1.%2.%3.%4.%5.%6.%7."/>
      <w:lvlJc w:val="left"/>
      <w:pPr>
        <w:ind w:left="1276" w:hanging="1276"/>
      </w:pPr>
      <w:rPr>
        <w:rFonts w:ascii="SimSun" w:hAnsi="SimSun" w:eastAsia="SimSun" w:cs="SimSun"/>
      </w:rPr>
    </w:lvl>
    <w:lvl w:ilvl="7">
      <w:start w:val="1"/>
      <w:numFmt w:val="decimal"/>
      <w:isLgl w:val="false"/>
      <w:suff w:val="tab"/>
      <w:lvlText w:val="%1.%2.%3.%4.%5.%6.%7.%8."/>
      <w:lvlJc w:val="left"/>
      <w:pPr>
        <w:ind w:left="1418" w:hanging="1418"/>
      </w:pPr>
      <w:rPr>
        <w:rFonts w:ascii="SimSun" w:hAnsi="SimSun" w:eastAsia="SimSun" w:cs="SimSun"/>
      </w:rPr>
    </w:lvl>
    <w:lvl w:ilvl="8">
      <w:start w:val="1"/>
      <w:numFmt w:val="decimal"/>
      <w:isLgl w:val="false"/>
      <w:suff w:val="tab"/>
      <w:lvlText w:val="%1.%2.%3.%4.%5.%6.%7.%8.%9."/>
      <w:lvlJc w:val="left"/>
      <w:pPr>
        <w:ind w:left="1559" w:hanging="1559"/>
      </w:pPr>
      <w:rPr>
        <w:rFonts w:ascii="SimSun" w:hAnsi="SimSun" w:eastAsia="SimSun" w:cs="SimSun"/>
      </w:rPr>
    </w:lvl>
  </w:abstractNum>
  <w:num w:numId="1">
    <w:abstractNumId w:val="1"/>
  </w:num>
  <w:num w:numId="2">
    <w:abstractNumId w:val="0"/>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69">
    <w:name w:val="Quote Char"/>
    <w:link w:val="895"/>
    <w:uiPriority w:val="29"/>
    <w:rPr>
      <w:i/>
    </w:rPr>
  </w:style>
  <w:style w:type="character" w:styleId="770">
    <w:name w:val="Intense Quote Char"/>
    <w:link w:val="897"/>
    <w:uiPriority w:val="30"/>
    <w:rPr>
      <w:i/>
    </w:rPr>
  </w:style>
  <w:style w:type="table" w:styleId="771">
    <w:name w:val="Plain Table 1"/>
    <w:basedOn w:val="802"/>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72">
    <w:name w:val="Plain Table 2"/>
    <w:basedOn w:val="80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73">
    <w:name w:val="Plain Table 3"/>
    <w:basedOn w:val="80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74">
    <w:name w:val="Plain Table 4"/>
    <w:basedOn w:val="80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75">
    <w:name w:val="Plain Table 5"/>
    <w:basedOn w:val="80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76">
    <w:name w:val="Grid Table 1 Light"/>
    <w:basedOn w:val="802"/>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77">
    <w:name w:val="Grid Table 2"/>
    <w:basedOn w:val="80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78">
    <w:name w:val="Grid Table 3"/>
    <w:basedOn w:val="80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9">
    <w:name w:val="Grid Table 4"/>
    <w:basedOn w:val="802"/>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80">
    <w:name w:val="Grid Table 5 Dark"/>
    <w:basedOn w:val="80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81">
    <w:name w:val="Grid Table 6 Colorful"/>
    <w:basedOn w:val="802"/>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82">
    <w:name w:val="Grid Table 7 Colorful"/>
    <w:basedOn w:val="802"/>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83">
    <w:name w:val="List Table 1 Light"/>
    <w:basedOn w:val="802"/>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84">
    <w:name w:val="List Table 2"/>
    <w:basedOn w:val="80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85">
    <w:name w:val="List Table 3"/>
    <w:basedOn w:val="802"/>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86">
    <w:name w:val="List Table 4"/>
    <w:basedOn w:val="802"/>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87">
    <w:name w:val="List Table 5 Dark"/>
    <w:basedOn w:val="802"/>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88">
    <w:name w:val="List Table 6 Colorful"/>
    <w:basedOn w:val="802"/>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89">
    <w:name w:val="List Table 7 Colorful"/>
    <w:basedOn w:val="802"/>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paragraph" w:styleId="790">
    <w:name w:val="TOC Heading"/>
    <w:uiPriority w:val="39"/>
    <w:unhideWhenUsed/>
  </w:style>
  <w:style w:type="paragraph" w:styleId="791" w:default="1">
    <w:name w:val="Normal"/>
    <w:next w:val="803"/>
    <w:link w:val="949"/>
    <w:uiPriority w:val="0"/>
    <w:qFormat/>
    <w:pPr>
      <w:jc w:val="both"/>
      <w:widowControl w:val="off"/>
    </w:pPr>
    <w:rPr>
      <w:rFonts w:ascii="Times New Roman" w:hAnsi="Times New Roman" w:eastAsia="宋体" w:cs="Times New Roman"/>
      <w:sz w:val="21"/>
      <w:szCs w:val="24"/>
      <w:lang w:val="en-US" w:eastAsia="zh-CN" w:bidi="ar-SA"/>
    </w:rPr>
  </w:style>
  <w:style w:type="paragraph" w:styleId="792">
    <w:name w:val="Heading 1"/>
    <w:basedOn w:val="791"/>
    <w:next w:val="791"/>
    <w:uiPriority w:val="9"/>
    <w:qFormat/>
    <w:pPr>
      <w:keepLines/>
      <w:keepNext/>
      <w:spacing w:before="480" w:after="200"/>
      <w:outlineLvl w:val="0"/>
    </w:pPr>
    <w:rPr>
      <w:rFonts w:ascii="Arial" w:hAnsi="Arial" w:eastAsia="Arial" w:cs="Arial"/>
      <w:sz w:val="40"/>
      <w:szCs w:val="40"/>
    </w:rPr>
  </w:style>
  <w:style w:type="paragraph" w:styleId="793">
    <w:name w:val="Heading 2"/>
    <w:basedOn w:val="791"/>
    <w:next w:val="791"/>
    <w:uiPriority w:val="9"/>
    <w:unhideWhenUsed/>
    <w:qFormat/>
    <w:pPr>
      <w:keepLines/>
      <w:keepNext/>
      <w:spacing w:before="360" w:after="200"/>
      <w:outlineLvl w:val="1"/>
    </w:pPr>
    <w:rPr>
      <w:rFonts w:ascii="Arial" w:hAnsi="Arial" w:eastAsia="Arial" w:cs="Arial"/>
      <w:sz w:val="34"/>
    </w:rPr>
  </w:style>
  <w:style w:type="paragraph" w:styleId="794">
    <w:name w:val="Heading 3"/>
    <w:basedOn w:val="791"/>
    <w:next w:val="791"/>
    <w:uiPriority w:val="9"/>
    <w:unhideWhenUsed/>
    <w:qFormat/>
    <w:pPr>
      <w:keepLines/>
      <w:keepNext/>
      <w:spacing w:before="320" w:after="200"/>
      <w:outlineLvl w:val="2"/>
    </w:pPr>
    <w:rPr>
      <w:rFonts w:ascii="Arial" w:hAnsi="Arial" w:eastAsia="Arial" w:cs="Arial"/>
      <w:sz w:val="30"/>
      <w:szCs w:val="30"/>
    </w:rPr>
  </w:style>
  <w:style w:type="paragraph" w:styleId="795">
    <w:name w:val="Heading 4"/>
    <w:basedOn w:val="791"/>
    <w:next w:val="791"/>
    <w:uiPriority w:val="9"/>
    <w:unhideWhenUsed/>
    <w:qFormat/>
    <w:pPr>
      <w:keepLines/>
      <w:keepNext/>
      <w:spacing w:before="320" w:after="200"/>
      <w:outlineLvl w:val="3"/>
    </w:pPr>
    <w:rPr>
      <w:rFonts w:ascii="Arial" w:hAnsi="Arial" w:eastAsia="Arial" w:cs="Arial"/>
      <w:b/>
      <w:bCs/>
      <w:sz w:val="26"/>
      <w:szCs w:val="26"/>
    </w:rPr>
  </w:style>
  <w:style w:type="paragraph" w:styleId="796">
    <w:name w:val="Heading 5"/>
    <w:basedOn w:val="791"/>
    <w:next w:val="791"/>
    <w:uiPriority w:val="9"/>
    <w:unhideWhenUsed/>
    <w:qFormat/>
    <w:pPr>
      <w:keepLines/>
      <w:keepNext/>
      <w:spacing w:before="320" w:after="200"/>
      <w:outlineLvl w:val="4"/>
    </w:pPr>
    <w:rPr>
      <w:rFonts w:ascii="Arial" w:hAnsi="Arial" w:eastAsia="Arial" w:cs="Arial"/>
      <w:b/>
      <w:bCs/>
      <w:sz w:val="24"/>
    </w:rPr>
  </w:style>
  <w:style w:type="paragraph" w:styleId="797">
    <w:name w:val="Heading 6"/>
    <w:basedOn w:val="791"/>
    <w:next w:val="791"/>
    <w:uiPriority w:val="9"/>
    <w:unhideWhenUsed/>
    <w:qFormat/>
    <w:pPr>
      <w:keepLines/>
      <w:keepNext/>
      <w:spacing w:before="320" w:after="200"/>
      <w:outlineLvl w:val="5"/>
    </w:pPr>
    <w:rPr>
      <w:rFonts w:ascii="Arial" w:hAnsi="Arial" w:eastAsia="Arial" w:cs="Arial"/>
      <w:b/>
      <w:bCs/>
      <w:sz w:val="22"/>
      <w:szCs w:val="22"/>
    </w:rPr>
  </w:style>
  <w:style w:type="paragraph" w:styleId="798">
    <w:name w:val="Heading 7"/>
    <w:basedOn w:val="791"/>
    <w:next w:val="791"/>
    <w:uiPriority w:val="9"/>
    <w:unhideWhenUsed/>
    <w:qFormat/>
    <w:pPr>
      <w:keepLines/>
      <w:keepNext/>
      <w:spacing w:before="320" w:after="200"/>
      <w:outlineLvl w:val="6"/>
    </w:pPr>
    <w:rPr>
      <w:rFonts w:ascii="Arial" w:hAnsi="Arial" w:eastAsia="Arial" w:cs="Arial"/>
      <w:b/>
      <w:bCs/>
      <w:i/>
      <w:iCs/>
      <w:sz w:val="22"/>
      <w:szCs w:val="22"/>
    </w:rPr>
  </w:style>
  <w:style w:type="paragraph" w:styleId="799">
    <w:name w:val="Heading 8"/>
    <w:basedOn w:val="791"/>
    <w:next w:val="791"/>
    <w:uiPriority w:val="9"/>
    <w:unhideWhenUsed/>
    <w:qFormat/>
    <w:pPr>
      <w:keepLines/>
      <w:keepNext/>
      <w:spacing w:before="320" w:after="200"/>
      <w:outlineLvl w:val="7"/>
    </w:pPr>
    <w:rPr>
      <w:rFonts w:ascii="Arial" w:hAnsi="Arial" w:eastAsia="Arial" w:cs="Arial"/>
      <w:i/>
      <w:iCs/>
      <w:sz w:val="22"/>
      <w:szCs w:val="22"/>
    </w:rPr>
  </w:style>
  <w:style w:type="paragraph" w:styleId="800">
    <w:name w:val="Heading 9"/>
    <w:basedOn w:val="791"/>
    <w:next w:val="791"/>
    <w:uiPriority w:val="9"/>
    <w:unhideWhenUsed/>
    <w:qFormat/>
    <w:pPr>
      <w:keepLines/>
      <w:keepNext/>
      <w:spacing w:before="320" w:after="200"/>
      <w:outlineLvl w:val="8"/>
    </w:pPr>
    <w:rPr>
      <w:rFonts w:ascii="Arial" w:hAnsi="Arial" w:eastAsia="Arial" w:cs="Arial"/>
      <w:i/>
      <w:iCs/>
      <w:szCs w:val="21"/>
    </w:rPr>
  </w:style>
  <w:style w:type="character" w:styleId="801" w:default="1">
    <w:name w:val="Default Paragraph Font"/>
    <w:uiPriority w:val="1"/>
    <w:semiHidden/>
    <w:unhideWhenUsed/>
    <w:qFormat/>
  </w:style>
  <w:style w:type="table" w:styleId="802" w:default="1">
    <w:name w:val="Normal Table"/>
    <w:uiPriority w:val="99"/>
    <w:semiHidden/>
    <w:unhideWhenUsed/>
    <w:qFormat/>
    <w:tblPr>
      <w:tblCellMar>
        <w:left w:w="108" w:type="dxa"/>
        <w:top w:w="0" w:type="dxa"/>
        <w:right w:w="108" w:type="dxa"/>
        <w:bottom w:w="0" w:type="dxa"/>
      </w:tblCellMar>
    </w:tblPr>
  </w:style>
  <w:style w:type="paragraph" w:styleId="803">
    <w:name w:val="Body Text"/>
    <w:basedOn w:val="791"/>
    <w:next w:val="791"/>
    <w:uiPriority w:val="0"/>
    <w:qFormat/>
  </w:style>
  <w:style w:type="paragraph" w:styleId="804">
    <w:name w:val="toc 7"/>
    <w:basedOn w:val="791"/>
    <w:next w:val="791"/>
    <w:uiPriority w:val="39"/>
    <w:unhideWhenUsed/>
    <w:qFormat/>
    <w:pPr>
      <w:ind w:left="1701"/>
      <w:spacing w:after="57"/>
    </w:pPr>
  </w:style>
  <w:style w:type="paragraph" w:styleId="805">
    <w:name w:val="Caption"/>
    <w:basedOn w:val="791"/>
    <w:next w:val="791"/>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806">
    <w:name w:val="annotation text"/>
    <w:basedOn w:val="791"/>
    <w:uiPriority w:val="99"/>
    <w:unhideWhenUsed/>
    <w:qFormat/>
    <w:pPr>
      <w:jc w:val="left"/>
    </w:pPr>
  </w:style>
  <w:style w:type="paragraph" w:styleId="807">
    <w:name w:val="toc 5"/>
    <w:basedOn w:val="791"/>
    <w:next w:val="791"/>
    <w:uiPriority w:val="39"/>
    <w:unhideWhenUsed/>
    <w:qFormat/>
    <w:pPr>
      <w:ind w:left="1134"/>
      <w:spacing w:after="57"/>
    </w:pPr>
  </w:style>
  <w:style w:type="paragraph" w:styleId="808">
    <w:name w:val="toc 3"/>
    <w:basedOn w:val="791"/>
    <w:next w:val="791"/>
    <w:uiPriority w:val="39"/>
    <w:unhideWhenUsed/>
    <w:qFormat/>
    <w:pPr>
      <w:ind w:left="567"/>
      <w:spacing w:after="57"/>
    </w:pPr>
  </w:style>
  <w:style w:type="paragraph" w:styleId="809">
    <w:name w:val="toc 8"/>
    <w:basedOn w:val="791"/>
    <w:next w:val="791"/>
    <w:uiPriority w:val="39"/>
    <w:unhideWhenUsed/>
    <w:qFormat/>
    <w:pPr>
      <w:ind w:left="1984"/>
      <w:spacing w:after="57"/>
    </w:pPr>
  </w:style>
  <w:style w:type="paragraph" w:styleId="810">
    <w:name w:val="endnote text"/>
    <w:basedOn w:val="791"/>
    <w:uiPriority w:val="99"/>
    <w:semiHidden/>
    <w:unhideWhenUsed/>
    <w:qFormat/>
    <w:rPr>
      <w:sz w:val="20"/>
    </w:rPr>
  </w:style>
  <w:style w:type="paragraph" w:styleId="811">
    <w:name w:val="Footer"/>
    <w:basedOn w:val="791"/>
    <w:uiPriority w:val="99"/>
    <w:unhideWhenUsed/>
    <w:qFormat/>
    <w:pPr>
      <w:tabs>
        <w:tab w:val="center" w:pos="7143" w:leader="none"/>
        <w:tab w:val="right" w:pos="14287" w:leader="none"/>
      </w:tabs>
    </w:pPr>
  </w:style>
  <w:style w:type="paragraph" w:styleId="812">
    <w:name w:val="Header"/>
    <w:basedOn w:val="791"/>
    <w:uiPriority w:val="99"/>
    <w:unhideWhenUsed/>
    <w:qFormat/>
    <w:pPr>
      <w:tabs>
        <w:tab w:val="center" w:pos="7143" w:leader="none"/>
        <w:tab w:val="right" w:pos="14287" w:leader="none"/>
      </w:tabs>
    </w:pPr>
  </w:style>
  <w:style w:type="paragraph" w:styleId="813">
    <w:name w:val="toc 1"/>
    <w:basedOn w:val="791"/>
    <w:next w:val="791"/>
    <w:uiPriority w:val="39"/>
    <w:unhideWhenUsed/>
    <w:qFormat/>
    <w:pPr>
      <w:spacing w:after="57"/>
    </w:pPr>
  </w:style>
  <w:style w:type="paragraph" w:styleId="814">
    <w:name w:val="toc 4"/>
    <w:basedOn w:val="791"/>
    <w:next w:val="791"/>
    <w:uiPriority w:val="39"/>
    <w:unhideWhenUsed/>
    <w:qFormat/>
    <w:pPr>
      <w:ind w:left="850"/>
      <w:spacing w:after="57"/>
    </w:pPr>
  </w:style>
  <w:style w:type="paragraph" w:styleId="815">
    <w:name w:val="Subtitle"/>
    <w:basedOn w:val="791"/>
    <w:next w:val="791"/>
    <w:uiPriority w:val="11"/>
    <w:qFormat/>
    <w:pPr>
      <w:spacing w:before="200" w:after="200"/>
    </w:pPr>
    <w:rPr>
      <w:sz w:val="24"/>
    </w:rPr>
  </w:style>
  <w:style w:type="paragraph" w:styleId="816">
    <w:name w:val="footnote text"/>
    <w:basedOn w:val="791"/>
    <w:uiPriority w:val="99"/>
    <w:semiHidden/>
    <w:unhideWhenUsed/>
    <w:qFormat/>
    <w:pPr>
      <w:spacing w:after="40"/>
    </w:pPr>
    <w:rPr>
      <w:sz w:val="18"/>
    </w:rPr>
  </w:style>
  <w:style w:type="paragraph" w:styleId="817">
    <w:name w:val="toc 6"/>
    <w:basedOn w:val="791"/>
    <w:next w:val="791"/>
    <w:uiPriority w:val="39"/>
    <w:unhideWhenUsed/>
    <w:qFormat/>
    <w:pPr>
      <w:ind w:left="1417"/>
      <w:spacing w:after="57"/>
    </w:pPr>
  </w:style>
  <w:style w:type="paragraph" w:styleId="818">
    <w:name w:val="table of figures"/>
    <w:basedOn w:val="791"/>
    <w:next w:val="791"/>
    <w:uiPriority w:val="99"/>
    <w:unhideWhenUsed/>
    <w:qFormat/>
  </w:style>
  <w:style w:type="paragraph" w:styleId="819">
    <w:name w:val="toc 2"/>
    <w:basedOn w:val="791"/>
    <w:next w:val="791"/>
    <w:uiPriority w:val="39"/>
    <w:unhideWhenUsed/>
    <w:qFormat/>
    <w:pPr>
      <w:ind w:left="283"/>
      <w:spacing w:after="57"/>
    </w:pPr>
  </w:style>
  <w:style w:type="paragraph" w:styleId="820">
    <w:name w:val="toc 9"/>
    <w:basedOn w:val="791"/>
    <w:next w:val="791"/>
    <w:uiPriority w:val="39"/>
    <w:unhideWhenUsed/>
    <w:qFormat/>
    <w:pPr>
      <w:ind w:left="2268"/>
      <w:spacing w:after="57"/>
    </w:pPr>
  </w:style>
  <w:style w:type="paragraph" w:styleId="821">
    <w:name w:val="Title"/>
    <w:basedOn w:val="791"/>
    <w:next w:val="791"/>
    <w:uiPriority w:val="10"/>
    <w:qFormat/>
    <w:pPr>
      <w:contextualSpacing/>
      <w:spacing w:before="300" w:after="200"/>
    </w:pPr>
    <w:rPr>
      <w:sz w:val="48"/>
      <w:szCs w:val="48"/>
    </w:rPr>
  </w:style>
  <w:style w:type="table" w:styleId="822">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23">
    <w:name w:val="endnote reference"/>
    <w:uiPriority w:val="99"/>
    <w:semiHidden/>
    <w:unhideWhenUsed/>
    <w:qFormat/>
    <w:rPr>
      <w:vertAlign w:val="superscript"/>
    </w:rPr>
  </w:style>
  <w:style w:type="character" w:styleId="824">
    <w:name w:val="Hyperlink"/>
    <w:uiPriority w:val="99"/>
    <w:unhideWhenUsed/>
    <w:qFormat/>
    <w:rPr>
      <w:color w:val="0000ff" w:themeColor="hyperlink"/>
      <w:u w:val="single"/>
      <w14:textFill>
        <w14:solidFill>
          <w14:schemeClr w14:val="hlink"/>
        </w14:solidFill>
      </w14:textFill>
    </w:rPr>
  </w:style>
  <w:style w:type="character" w:styleId="825">
    <w:name w:val="footnote reference"/>
    <w:uiPriority w:val="99"/>
    <w:unhideWhenUsed/>
    <w:qFormat/>
    <w:rPr>
      <w:vertAlign w:val="superscript"/>
    </w:rPr>
  </w:style>
  <w:style w:type="paragraph" w:styleId="826" w:customStyle="1">
    <w:name w:val="正文文本13"/>
    <w:basedOn w:val="791"/>
    <w:next w:val="827"/>
    <w:uiPriority w:val="0"/>
    <w:qFormat/>
  </w:style>
  <w:style w:type="paragraph" w:styleId="827" w:customStyle="1">
    <w:name w:val="一级条标题"/>
    <w:basedOn w:val="828"/>
    <w:next w:val="829"/>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828" w:customStyle="1">
    <w:name w:val="章标题"/>
    <w:next w:val="791"/>
    <w:uiPriority w:val="0"/>
    <w:qFormat/>
    <w:pPr>
      <w:ind w:left="810" w:hanging="810"/>
      <w:jc w:val="both"/>
      <w:spacing w:before="50" w:after="50"/>
      <w:tabs>
        <w:tab w:val="left" w:pos="810" w:leader="none"/>
        <w:tab w:val="left" w:pos="1265" w:leader="none"/>
      </w:tabs>
      <w:outlineLvl w:val="1"/>
    </w:pPr>
    <w:rPr>
      <w:rFonts w:ascii="黑体" w:hAnsi="Times New Roman" w:eastAsia="黑体" w:cs="Times New Roman"/>
      <w:sz w:val="21"/>
      <w:szCs w:val="22"/>
      <w:lang w:val="en-US" w:eastAsia="zh-CN" w:bidi="ar-SA"/>
    </w:rPr>
  </w:style>
  <w:style w:type="paragraph" w:styleId="829" w:customStyle="1">
    <w:name w:val="段"/>
    <w:basedOn w:val="830"/>
    <w:next w:val="791"/>
    <w:uiPriority w:val="0"/>
    <w:qFormat/>
    <w:pPr>
      <w:ind w:firstLine="200"/>
      <w:widowControl/>
    </w:pPr>
    <w:rPr>
      <w:sz w:val="20"/>
    </w:rPr>
  </w:style>
  <w:style w:type="paragraph" w:styleId="830" w:customStyle="1">
    <w:name w:val="正文1"/>
    <w:basedOn w:val="831"/>
    <w:next w:val="835"/>
    <w:uiPriority w:val="0"/>
    <w:qFormat/>
    <w:pPr>
      <w:jc w:val="left"/>
      <w:spacing w:line="360" w:lineRule="atLeast"/>
    </w:pPr>
    <w:rPr>
      <w:rFonts w:ascii="宋体" w:hAnsi="Calibri"/>
      <w:sz w:val="24"/>
      <w:szCs w:val="20"/>
    </w:rPr>
  </w:style>
  <w:style w:type="paragraph" w:styleId="831" w:customStyle="1">
    <w:name w:val="正文11"/>
    <w:next w:val="832"/>
    <w:uiPriority w:val="0"/>
    <w:qFormat/>
    <w:pPr>
      <w:jc w:val="both"/>
      <w:widowControl w:val="off"/>
    </w:pPr>
    <w:rPr>
      <w:rFonts w:ascii="Times New Roman" w:hAnsi="Times New Roman" w:eastAsia="宋体" w:cs="Times New Roman"/>
      <w:sz w:val="21"/>
      <w:szCs w:val="24"/>
      <w:lang w:val="en-US" w:eastAsia="zh-CN" w:bidi="ar-SA"/>
    </w:rPr>
  </w:style>
  <w:style w:type="paragraph" w:styleId="832" w:customStyle="1">
    <w:name w:val="正文首行缩进 21"/>
    <w:basedOn w:val="833"/>
    <w:next w:val="791"/>
    <w:uiPriority w:val="0"/>
    <w:qFormat/>
    <w:pPr>
      <w:ind w:firstLine="420"/>
    </w:pPr>
    <w:rPr>
      <w:rFonts w:ascii="宋体" w:hAnsi="宋体"/>
      <w:sz w:val="20"/>
      <w:szCs w:val="20"/>
    </w:rPr>
  </w:style>
  <w:style w:type="paragraph" w:styleId="833" w:customStyle="1">
    <w:name w:val="正文文本缩进1"/>
    <w:basedOn w:val="791"/>
    <w:next w:val="834"/>
    <w:uiPriority w:val="0"/>
    <w:qFormat/>
    <w:pPr>
      <w:ind w:left="420"/>
      <w:spacing w:after="120"/>
    </w:pPr>
    <w:rPr>
      <w:rFonts w:ascii="Calibri" w:hAnsi="Calibri"/>
    </w:rPr>
  </w:style>
  <w:style w:type="paragraph" w:styleId="834" w:customStyle="1">
    <w:name w:val="寄信人地址1"/>
    <w:basedOn w:val="791"/>
    <w:uiPriority w:val="99"/>
    <w:unhideWhenUsed/>
    <w:qFormat/>
    <w:rPr>
      <w:rFonts w:ascii="Arial" w:hAnsi="Arial"/>
    </w:rPr>
  </w:style>
  <w:style w:type="paragraph" w:styleId="835" w:customStyle="1">
    <w:name w:val="目录 11"/>
    <w:basedOn w:val="831"/>
    <w:next w:val="836"/>
    <w:uiPriority w:val="0"/>
    <w:qFormat/>
    <w:pPr>
      <w:jc w:val="left"/>
      <w:spacing w:after="100" w:line="259" w:lineRule="auto"/>
      <w:widowControl/>
    </w:pPr>
    <w:rPr>
      <w:rFonts w:ascii="Calibri" w:hAnsi="Calibri"/>
      <w:sz w:val="22"/>
      <w:szCs w:val="22"/>
    </w:rPr>
  </w:style>
  <w:style w:type="paragraph" w:styleId="836" w:customStyle="1">
    <w:name w:val="正文12"/>
    <w:next w:val="837"/>
    <w:uiPriority w:val="0"/>
    <w:qFormat/>
    <w:pPr>
      <w:jc w:val="both"/>
      <w:widowControl w:val="off"/>
    </w:pPr>
    <w:rPr>
      <w:rFonts w:ascii="Times New Roman" w:hAnsi="Times New Roman" w:eastAsia="宋体" w:cs="Times New Roman"/>
      <w:sz w:val="21"/>
      <w:szCs w:val="24"/>
      <w:lang w:val="en-US" w:eastAsia="zh-CN" w:bidi="ar-SA"/>
    </w:rPr>
  </w:style>
  <w:style w:type="paragraph" w:styleId="837" w:customStyle="1">
    <w:name w:val="正文文本111"/>
    <w:basedOn w:val="791"/>
    <w:next w:val="836"/>
    <w:uiPriority w:val="0"/>
    <w:qFormat/>
    <w:rPr>
      <w:rFonts w:ascii="楷体_GB2312" w:hAnsi="Arial" w:eastAsia="楷体_GB2312"/>
      <w:sz w:val="28"/>
      <w:szCs w:val="28"/>
      <w:lang w:eastAsia="en-US"/>
    </w:rPr>
  </w:style>
  <w:style w:type="paragraph" w:styleId="838" w:customStyle="1">
    <w:name w:val="信息标题1"/>
    <w:basedOn w:val="791"/>
    <w:next w:val="839"/>
    <w:uiPriority w:val="99"/>
    <w:qFormat/>
    <w:pPr>
      <w:shd w:val="pct20" w:color="auto" w:fill="auto"/>
      <w:pBdr>
        <w:top w:val="none" w:color="000000" w:sz="0" w:space="1"/>
        <w:left w:val="none" w:color="000000" w:sz="0" w:space="1"/>
        <w:bottom w:val="none" w:color="000000" w:sz="0" w:space="1"/>
        <w:right w:val="none" w:color="000000" w:sz="0" w:space="1"/>
      </w:pBdr>
    </w:pPr>
    <w:rPr>
      <w:rFonts w:ascii="Arial" w:hAnsi="Arial"/>
      <w:color w:val="000000"/>
      <w:szCs w:val="22"/>
    </w:rPr>
  </w:style>
  <w:style w:type="paragraph" w:styleId="839" w:customStyle="1">
    <w:name w:val="正文文本12"/>
    <w:basedOn w:val="791"/>
    <w:next w:val="791"/>
    <w:uiPriority w:val="99"/>
    <w:qFormat/>
    <w:pPr>
      <w:spacing w:after="120"/>
    </w:pPr>
  </w:style>
  <w:style w:type="paragraph" w:styleId="840" w:customStyle="1">
    <w:name w:val="标题 112"/>
    <w:basedOn w:val="791"/>
    <w:next w:val="791"/>
    <w:link w:val="891"/>
    <w:uiPriority w:val="9"/>
    <w:qFormat/>
    <w:pPr>
      <w:keepLines/>
      <w:keepNext/>
      <w:spacing w:before="480" w:after="200"/>
      <w:outlineLvl w:val="0"/>
    </w:pPr>
    <w:rPr>
      <w:rFonts w:ascii="Arial" w:hAnsi="Arial" w:eastAsia="Arial" w:cs="Arial"/>
      <w:sz w:val="40"/>
      <w:szCs w:val="40"/>
    </w:rPr>
  </w:style>
  <w:style w:type="paragraph" w:styleId="841" w:customStyle="1">
    <w:name w:val="标题 212"/>
    <w:basedOn w:val="791"/>
    <w:next w:val="791"/>
    <w:link w:val="852"/>
    <w:uiPriority w:val="9"/>
    <w:unhideWhenUsed/>
    <w:qFormat/>
    <w:pPr>
      <w:keepLines/>
      <w:keepNext/>
      <w:spacing w:before="360" w:after="200"/>
      <w:outlineLvl w:val="1"/>
    </w:pPr>
    <w:rPr>
      <w:rFonts w:ascii="Arial" w:hAnsi="Arial" w:eastAsia="Arial" w:cs="Arial"/>
      <w:sz w:val="34"/>
    </w:rPr>
  </w:style>
  <w:style w:type="paragraph" w:styleId="842" w:customStyle="1">
    <w:name w:val="标题 311"/>
    <w:basedOn w:val="791"/>
    <w:next w:val="791"/>
    <w:link w:val="853"/>
    <w:uiPriority w:val="9"/>
    <w:unhideWhenUsed/>
    <w:qFormat/>
    <w:pPr>
      <w:keepLines/>
      <w:keepNext/>
      <w:spacing w:before="320" w:after="200"/>
      <w:outlineLvl w:val="2"/>
    </w:pPr>
    <w:rPr>
      <w:rFonts w:ascii="Arial" w:hAnsi="Arial" w:eastAsia="Arial" w:cs="Arial"/>
      <w:sz w:val="30"/>
      <w:szCs w:val="30"/>
    </w:rPr>
  </w:style>
  <w:style w:type="paragraph" w:styleId="843" w:customStyle="1">
    <w:name w:val="标题 411"/>
    <w:basedOn w:val="791"/>
    <w:next w:val="791"/>
    <w:link w:val="854"/>
    <w:uiPriority w:val="9"/>
    <w:unhideWhenUsed/>
    <w:qFormat/>
    <w:pPr>
      <w:keepLines/>
      <w:keepNext/>
      <w:spacing w:before="320" w:after="200"/>
      <w:outlineLvl w:val="3"/>
    </w:pPr>
    <w:rPr>
      <w:rFonts w:ascii="Arial" w:hAnsi="Arial" w:eastAsia="Arial" w:cs="Arial"/>
      <w:b/>
      <w:bCs/>
      <w:sz w:val="26"/>
      <w:szCs w:val="26"/>
    </w:rPr>
  </w:style>
  <w:style w:type="paragraph" w:styleId="844" w:customStyle="1">
    <w:name w:val="标题 511"/>
    <w:basedOn w:val="791"/>
    <w:next w:val="791"/>
    <w:link w:val="855"/>
    <w:uiPriority w:val="9"/>
    <w:unhideWhenUsed/>
    <w:qFormat/>
    <w:pPr>
      <w:keepLines/>
      <w:keepNext/>
      <w:spacing w:before="320" w:after="200"/>
      <w:outlineLvl w:val="4"/>
    </w:pPr>
    <w:rPr>
      <w:rFonts w:ascii="Arial" w:hAnsi="Arial" w:eastAsia="Arial" w:cs="Arial"/>
      <w:b/>
      <w:bCs/>
      <w:sz w:val="24"/>
    </w:rPr>
  </w:style>
  <w:style w:type="paragraph" w:styleId="845" w:customStyle="1">
    <w:name w:val="标题 611"/>
    <w:basedOn w:val="791"/>
    <w:next w:val="791"/>
    <w:link w:val="856"/>
    <w:uiPriority w:val="9"/>
    <w:unhideWhenUsed/>
    <w:qFormat/>
    <w:pPr>
      <w:keepLines/>
      <w:keepNext/>
      <w:spacing w:before="320" w:after="200"/>
      <w:outlineLvl w:val="5"/>
    </w:pPr>
    <w:rPr>
      <w:rFonts w:ascii="Arial" w:hAnsi="Arial" w:eastAsia="Arial" w:cs="Arial"/>
      <w:b/>
      <w:bCs/>
      <w:sz w:val="22"/>
      <w:szCs w:val="22"/>
    </w:rPr>
  </w:style>
  <w:style w:type="paragraph" w:styleId="846" w:customStyle="1">
    <w:name w:val="标题 711"/>
    <w:basedOn w:val="791"/>
    <w:next w:val="791"/>
    <w:link w:val="857"/>
    <w:uiPriority w:val="9"/>
    <w:unhideWhenUsed/>
    <w:qFormat/>
    <w:pPr>
      <w:keepLines/>
      <w:keepNext/>
      <w:spacing w:before="320" w:after="200"/>
      <w:outlineLvl w:val="6"/>
    </w:pPr>
    <w:rPr>
      <w:rFonts w:ascii="Arial" w:hAnsi="Arial" w:eastAsia="Arial" w:cs="Arial"/>
      <w:b/>
      <w:bCs/>
      <w:i/>
      <w:iCs/>
      <w:sz w:val="22"/>
      <w:szCs w:val="22"/>
    </w:rPr>
  </w:style>
  <w:style w:type="paragraph" w:styleId="847" w:customStyle="1">
    <w:name w:val="标题 811"/>
    <w:basedOn w:val="791"/>
    <w:next w:val="791"/>
    <w:link w:val="858"/>
    <w:uiPriority w:val="9"/>
    <w:unhideWhenUsed/>
    <w:qFormat/>
    <w:pPr>
      <w:keepLines/>
      <w:keepNext/>
      <w:spacing w:before="320" w:after="200"/>
      <w:outlineLvl w:val="7"/>
    </w:pPr>
    <w:rPr>
      <w:rFonts w:ascii="Arial" w:hAnsi="Arial" w:eastAsia="Arial" w:cs="Arial"/>
      <w:i/>
      <w:iCs/>
      <w:sz w:val="22"/>
      <w:szCs w:val="22"/>
    </w:rPr>
  </w:style>
  <w:style w:type="paragraph" w:styleId="848" w:customStyle="1">
    <w:name w:val="标题 911"/>
    <w:basedOn w:val="791"/>
    <w:next w:val="791"/>
    <w:link w:val="859"/>
    <w:uiPriority w:val="9"/>
    <w:unhideWhenUsed/>
    <w:qFormat/>
    <w:pPr>
      <w:keepLines/>
      <w:keepNext/>
      <w:spacing w:before="320" w:after="200"/>
      <w:outlineLvl w:val="8"/>
    </w:pPr>
    <w:rPr>
      <w:rFonts w:ascii="Arial" w:hAnsi="Arial" w:eastAsia="Arial" w:cs="Arial"/>
      <w:i/>
      <w:iCs/>
      <w:szCs w:val="21"/>
    </w:rPr>
  </w:style>
  <w:style w:type="character" w:styleId="849" w:customStyle="1">
    <w:name w:val="默认段落字体12"/>
    <w:uiPriority w:val="1"/>
    <w:unhideWhenUsed/>
    <w:qFormat/>
  </w:style>
  <w:style w:type="table" w:styleId="850" w:customStyle="1">
    <w:name w:val="普通表格12"/>
    <w:uiPriority w:val="99"/>
    <w:unhideWhenUsed/>
    <w:qFormat/>
    <w:tblPr>
      <w:tblCellMar>
        <w:left w:w="0" w:type="dxa"/>
        <w:top w:w="0" w:type="dxa"/>
        <w:right w:w="0" w:type="dxa"/>
        <w:bottom w:w="0" w:type="dxa"/>
      </w:tblCellMar>
    </w:tblPr>
  </w:style>
  <w:style w:type="character" w:styleId="851" w:customStyle="1">
    <w:name w:val="Heading 1 Char"/>
    <w:uiPriority w:val="9"/>
    <w:qFormat/>
    <w:rPr>
      <w:rFonts w:ascii="Arial" w:hAnsi="Arial" w:eastAsia="Arial" w:cs="Arial"/>
      <w:sz w:val="40"/>
      <w:szCs w:val="40"/>
    </w:rPr>
  </w:style>
  <w:style w:type="character" w:styleId="852" w:customStyle="1">
    <w:name w:val="Heading 2 Char"/>
    <w:link w:val="841"/>
    <w:uiPriority w:val="9"/>
    <w:qFormat/>
    <w:rPr>
      <w:rFonts w:ascii="Arial" w:hAnsi="Arial" w:eastAsia="Arial" w:cs="Arial"/>
      <w:sz w:val="34"/>
    </w:rPr>
  </w:style>
  <w:style w:type="character" w:styleId="853" w:customStyle="1">
    <w:name w:val="Heading 3 Char"/>
    <w:link w:val="842"/>
    <w:uiPriority w:val="9"/>
    <w:qFormat/>
    <w:rPr>
      <w:rFonts w:ascii="Arial" w:hAnsi="Arial" w:eastAsia="Arial" w:cs="Arial"/>
      <w:sz w:val="30"/>
      <w:szCs w:val="30"/>
    </w:rPr>
  </w:style>
  <w:style w:type="character" w:styleId="854" w:customStyle="1">
    <w:name w:val="Heading 4 Char"/>
    <w:link w:val="843"/>
    <w:uiPriority w:val="9"/>
    <w:qFormat/>
    <w:rPr>
      <w:rFonts w:ascii="Arial" w:hAnsi="Arial" w:eastAsia="Arial" w:cs="Arial"/>
      <w:b/>
      <w:bCs/>
      <w:sz w:val="26"/>
      <w:szCs w:val="26"/>
    </w:rPr>
  </w:style>
  <w:style w:type="character" w:styleId="855" w:customStyle="1">
    <w:name w:val="Heading 5 Char"/>
    <w:link w:val="844"/>
    <w:uiPriority w:val="9"/>
    <w:qFormat/>
    <w:rPr>
      <w:rFonts w:ascii="Arial" w:hAnsi="Arial" w:eastAsia="Arial" w:cs="Arial"/>
      <w:b/>
      <w:bCs/>
      <w:sz w:val="24"/>
      <w:szCs w:val="24"/>
    </w:rPr>
  </w:style>
  <w:style w:type="character" w:styleId="856" w:customStyle="1">
    <w:name w:val="Heading 6 Char"/>
    <w:link w:val="845"/>
    <w:uiPriority w:val="9"/>
    <w:qFormat/>
    <w:rPr>
      <w:rFonts w:ascii="Arial" w:hAnsi="Arial" w:eastAsia="Arial" w:cs="Arial"/>
      <w:b/>
      <w:bCs/>
      <w:sz w:val="22"/>
      <w:szCs w:val="22"/>
    </w:rPr>
  </w:style>
  <w:style w:type="character" w:styleId="857" w:customStyle="1">
    <w:name w:val="Heading 7 Char"/>
    <w:link w:val="846"/>
    <w:uiPriority w:val="9"/>
    <w:qFormat/>
    <w:rPr>
      <w:rFonts w:ascii="Arial" w:hAnsi="Arial" w:eastAsia="Arial" w:cs="Arial"/>
      <w:b/>
      <w:bCs/>
      <w:i/>
      <w:iCs/>
      <w:sz w:val="22"/>
      <w:szCs w:val="22"/>
    </w:rPr>
  </w:style>
  <w:style w:type="character" w:styleId="858" w:customStyle="1">
    <w:name w:val="Heading 8 Char"/>
    <w:link w:val="847"/>
    <w:uiPriority w:val="9"/>
    <w:qFormat/>
    <w:rPr>
      <w:rFonts w:ascii="Arial" w:hAnsi="Arial" w:eastAsia="Arial" w:cs="Arial"/>
      <w:i/>
      <w:iCs/>
      <w:sz w:val="22"/>
      <w:szCs w:val="22"/>
    </w:rPr>
  </w:style>
  <w:style w:type="character" w:styleId="859" w:customStyle="1">
    <w:name w:val="Heading 9 Char"/>
    <w:link w:val="848"/>
    <w:uiPriority w:val="9"/>
    <w:qFormat/>
    <w:rPr>
      <w:rFonts w:ascii="Arial" w:hAnsi="Arial" w:eastAsia="Arial" w:cs="Arial"/>
      <w:i/>
      <w:iCs/>
      <w:sz w:val="21"/>
      <w:szCs w:val="21"/>
    </w:rPr>
  </w:style>
  <w:style w:type="paragraph" w:styleId="860" w:customStyle="1">
    <w:name w:val="目录 711"/>
    <w:basedOn w:val="791"/>
    <w:next w:val="791"/>
    <w:uiPriority w:val="39"/>
    <w:unhideWhenUsed/>
    <w:qFormat/>
    <w:pPr>
      <w:ind w:left="1701"/>
      <w:spacing w:after="57"/>
    </w:pPr>
  </w:style>
  <w:style w:type="paragraph" w:styleId="861" w:customStyle="1">
    <w:name w:val="题注11"/>
    <w:basedOn w:val="791"/>
    <w:next w:val="791"/>
    <w:uiPriority w:val="35"/>
    <w:unhideWhenUsed/>
    <w:qFormat/>
    <w:pPr>
      <w:spacing w:line="276" w:lineRule="auto"/>
    </w:pPr>
    <w:rPr>
      <w:b/>
      <w:bCs/>
      <w:color w:val="4f81bd"/>
      <w:sz w:val="18"/>
      <w:szCs w:val="18"/>
    </w:rPr>
  </w:style>
  <w:style w:type="paragraph" w:styleId="862" w:customStyle="1">
    <w:name w:val="批注文字11"/>
    <w:basedOn w:val="791"/>
    <w:uiPriority w:val="99"/>
    <w:unhideWhenUsed/>
    <w:qFormat/>
    <w:pPr>
      <w:jc w:val="left"/>
    </w:pPr>
  </w:style>
  <w:style w:type="paragraph" w:styleId="863" w:customStyle="1">
    <w:name w:val="正文文本11"/>
    <w:basedOn w:val="791"/>
    <w:uiPriority w:val="0"/>
    <w:qFormat/>
    <w:pPr>
      <w:spacing w:line="300" w:lineRule="auto"/>
    </w:pPr>
    <w:rPr>
      <w:rFonts w:eastAsia="微软简楷体"/>
      <w:sz w:val="30"/>
    </w:rPr>
  </w:style>
  <w:style w:type="paragraph" w:styleId="864" w:customStyle="1">
    <w:name w:val="文本块11"/>
    <w:basedOn w:val="791"/>
    <w:uiPriority w:val="99"/>
    <w:unhideWhenUsed/>
    <w:qFormat/>
    <w:pPr>
      <w:ind w:left="1440" w:right="1440"/>
      <w:spacing w:after="120"/>
    </w:pPr>
  </w:style>
  <w:style w:type="paragraph" w:styleId="865" w:customStyle="1">
    <w:name w:val="目录 511"/>
    <w:basedOn w:val="791"/>
    <w:next w:val="791"/>
    <w:uiPriority w:val="39"/>
    <w:unhideWhenUsed/>
    <w:qFormat/>
    <w:pPr>
      <w:ind w:left="1134"/>
      <w:spacing w:after="57"/>
    </w:pPr>
  </w:style>
  <w:style w:type="paragraph" w:styleId="866" w:customStyle="1">
    <w:name w:val="目录 311"/>
    <w:basedOn w:val="791"/>
    <w:next w:val="791"/>
    <w:uiPriority w:val="39"/>
    <w:unhideWhenUsed/>
    <w:qFormat/>
    <w:pPr>
      <w:ind w:left="567"/>
      <w:spacing w:after="57"/>
    </w:pPr>
  </w:style>
  <w:style w:type="paragraph" w:styleId="867" w:customStyle="1">
    <w:name w:val="目录 811"/>
    <w:basedOn w:val="791"/>
    <w:next w:val="791"/>
    <w:uiPriority w:val="39"/>
    <w:unhideWhenUsed/>
    <w:qFormat/>
    <w:pPr>
      <w:ind w:left="1984"/>
      <w:spacing w:after="57"/>
    </w:pPr>
  </w:style>
  <w:style w:type="paragraph" w:styleId="868" w:customStyle="1">
    <w:name w:val="尾注文本11"/>
    <w:basedOn w:val="791"/>
    <w:link w:val="869"/>
    <w:uiPriority w:val="99"/>
    <w:unhideWhenUsed/>
    <w:qFormat/>
    <w:rPr>
      <w:sz w:val="20"/>
    </w:rPr>
  </w:style>
  <w:style w:type="character" w:styleId="869" w:customStyle="1">
    <w:name w:val="Endnote Text Char"/>
    <w:link w:val="868"/>
    <w:uiPriority w:val="99"/>
    <w:qFormat/>
    <w:rPr>
      <w:sz w:val="20"/>
    </w:rPr>
  </w:style>
  <w:style w:type="paragraph" w:styleId="870" w:customStyle="1">
    <w:name w:val="页脚12"/>
    <w:basedOn w:val="791"/>
    <w:link w:val="871"/>
    <w:uiPriority w:val="99"/>
    <w:unhideWhenUsed/>
    <w:qFormat/>
    <w:pPr>
      <w:tabs>
        <w:tab w:val="center" w:pos="7143" w:leader="none"/>
        <w:tab w:val="right" w:pos="14287" w:leader="none"/>
      </w:tabs>
    </w:pPr>
  </w:style>
  <w:style w:type="character" w:styleId="871" w:customStyle="1">
    <w:name w:val="Caption Char"/>
    <w:link w:val="870"/>
    <w:uiPriority w:val="99"/>
    <w:qFormat/>
  </w:style>
  <w:style w:type="paragraph" w:styleId="872" w:customStyle="1">
    <w:name w:val="页眉12"/>
    <w:basedOn w:val="791"/>
    <w:link w:val="873"/>
    <w:uiPriority w:val="99"/>
    <w:unhideWhenUsed/>
    <w:qFormat/>
    <w:pPr>
      <w:tabs>
        <w:tab w:val="center" w:pos="7143" w:leader="none"/>
        <w:tab w:val="right" w:pos="14287" w:leader="none"/>
      </w:tabs>
    </w:pPr>
  </w:style>
  <w:style w:type="character" w:styleId="873" w:customStyle="1">
    <w:name w:val="Header Char"/>
    <w:link w:val="872"/>
    <w:uiPriority w:val="99"/>
    <w:qFormat/>
  </w:style>
  <w:style w:type="paragraph" w:styleId="874" w:customStyle="1">
    <w:name w:val="目录 112"/>
    <w:basedOn w:val="791"/>
    <w:next w:val="791"/>
    <w:uiPriority w:val="39"/>
    <w:unhideWhenUsed/>
    <w:qFormat/>
    <w:pPr>
      <w:spacing w:after="57"/>
    </w:pPr>
  </w:style>
  <w:style w:type="paragraph" w:styleId="875" w:customStyle="1">
    <w:name w:val="目录 411"/>
    <w:basedOn w:val="791"/>
    <w:next w:val="791"/>
    <w:uiPriority w:val="39"/>
    <w:unhideWhenUsed/>
    <w:qFormat/>
    <w:pPr>
      <w:ind w:left="850"/>
      <w:spacing w:after="57"/>
    </w:pPr>
  </w:style>
  <w:style w:type="paragraph" w:styleId="876" w:customStyle="1">
    <w:name w:val="副标题11"/>
    <w:basedOn w:val="791"/>
    <w:next w:val="791"/>
    <w:link w:val="877"/>
    <w:uiPriority w:val="11"/>
    <w:qFormat/>
    <w:pPr>
      <w:spacing w:before="200" w:after="200"/>
    </w:pPr>
    <w:rPr>
      <w:sz w:val="24"/>
    </w:rPr>
  </w:style>
  <w:style w:type="character" w:styleId="877" w:customStyle="1">
    <w:name w:val="Subtitle Char"/>
    <w:link w:val="876"/>
    <w:uiPriority w:val="11"/>
    <w:qFormat/>
    <w:rPr>
      <w:sz w:val="24"/>
      <w:szCs w:val="24"/>
    </w:rPr>
  </w:style>
  <w:style w:type="paragraph" w:styleId="878" w:customStyle="1">
    <w:name w:val="脚注文本12"/>
    <w:basedOn w:val="791"/>
    <w:link w:val="879"/>
    <w:uiPriority w:val="99"/>
    <w:unhideWhenUsed/>
    <w:qFormat/>
    <w:pPr>
      <w:spacing w:after="40"/>
    </w:pPr>
    <w:rPr>
      <w:sz w:val="18"/>
    </w:rPr>
  </w:style>
  <w:style w:type="character" w:styleId="879" w:customStyle="1">
    <w:name w:val="Footnote Text Char"/>
    <w:link w:val="878"/>
    <w:uiPriority w:val="99"/>
    <w:qFormat/>
    <w:rPr>
      <w:sz w:val="18"/>
    </w:rPr>
  </w:style>
  <w:style w:type="paragraph" w:styleId="880" w:customStyle="1">
    <w:name w:val="目录 611"/>
    <w:basedOn w:val="791"/>
    <w:next w:val="791"/>
    <w:uiPriority w:val="39"/>
    <w:unhideWhenUsed/>
    <w:qFormat/>
    <w:pPr>
      <w:ind w:left="1417"/>
      <w:spacing w:after="57"/>
    </w:pPr>
  </w:style>
  <w:style w:type="paragraph" w:styleId="881" w:customStyle="1">
    <w:name w:val="图表目录11"/>
    <w:basedOn w:val="791"/>
    <w:next w:val="791"/>
    <w:uiPriority w:val="99"/>
    <w:unhideWhenUsed/>
    <w:qFormat/>
  </w:style>
  <w:style w:type="paragraph" w:styleId="882" w:customStyle="1">
    <w:name w:val="目录 211"/>
    <w:basedOn w:val="791"/>
    <w:next w:val="791"/>
    <w:uiPriority w:val="39"/>
    <w:unhideWhenUsed/>
    <w:qFormat/>
    <w:pPr>
      <w:ind w:left="283"/>
      <w:spacing w:after="57"/>
    </w:pPr>
  </w:style>
  <w:style w:type="paragraph" w:styleId="883" w:customStyle="1">
    <w:name w:val="目录 911"/>
    <w:basedOn w:val="791"/>
    <w:next w:val="791"/>
    <w:uiPriority w:val="39"/>
    <w:unhideWhenUsed/>
    <w:qFormat/>
    <w:pPr>
      <w:ind w:left="2268"/>
      <w:spacing w:after="57"/>
    </w:pPr>
  </w:style>
  <w:style w:type="paragraph" w:styleId="884" w:customStyle="1">
    <w:name w:val="普通(网站)11"/>
    <w:basedOn w:val="791"/>
    <w:uiPriority w:val="0"/>
    <w:qFormat/>
    <w:pPr>
      <w:spacing w:beforeAutospacing="1" w:afterAutospacing="1"/>
    </w:pPr>
  </w:style>
  <w:style w:type="paragraph" w:styleId="885" w:customStyle="1">
    <w:name w:val="标题11"/>
    <w:basedOn w:val="791"/>
    <w:next w:val="791"/>
    <w:link w:val="886"/>
    <w:uiPriority w:val="10"/>
    <w:qFormat/>
    <w:pPr>
      <w:contextualSpacing/>
      <w:spacing w:before="300" w:after="200"/>
    </w:pPr>
    <w:rPr>
      <w:sz w:val="48"/>
      <w:szCs w:val="48"/>
    </w:rPr>
  </w:style>
  <w:style w:type="character" w:styleId="886" w:customStyle="1">
    <w:name w:val="Title Char"/>
    <w:link w:val="885"/>
    <w:uiPriority w:val="10"/>
    <w:qFormat/>
    <w:rPr>
      <w:sz w:val="48"/>
      <w:szCs w:val="48"/>
    </w:rPr>
  </w:style>
  <w:style w:type="table" w:styleId="887" w:customStyle="1">
    <w:name w:val="网格型12"/>
    <w:uiPriority w:val="59"/>
    <w:qFormat/>
    <w:tblPr>
      <w:tblCellMar>
        <w:left w:w="0" w:type="dxa"/>
        <w:top w:w="0" w:type="dxa"/>
        <w:right w:w="0" w:type="dxa"/>
        <w:bottom w:w="0" w:type="dxa"/>
      </w:tblCellMar>
    </w:tblPr>
  </w:style>
  <w:style w:type="character" w:styleId="888" w:customStyle="1">
    <w:name w:val="尾注引用11"/>
    <w:uiPriority w:val="99"/>
    <w:unhideWhenUsed/>
    <w:qFormat/>
    <w:rPr>
      <w:vertAlign w:val="superscript"/>
    </w:rPr>
  </w:style>
  <w:style w:type="character" w:styleId="889" w:customStyle="1">
    <w:name w:val="超链接12"/>
    <w:uiPriority w:val="99"/>
    <w:unhideWhenUsed/>
    <w:qFormat/>
    <w:rPr>
      <w:color w:val="0000ff"/>
      <w:u w:val="single"/>
    </w:rPr>
  </w:style>
  <w:style w:type="character" w:styleId="890" w:customStyle="1">
    <w:name w:val="脚注引用11"/>
    <w:uiPriority w:val="99"/>
    <w:unhideWhenUsed/>
    <w:qFormat/>
    <w:rPr>
      <w:vertAlign w:val="superscript"/>
    </w:rPr>
  </w:style>
  <w:style w:type="character" w:styleId="891" w:customStyle="1">
    <w:name w:val="标题 1 字符"/>
    <w:link w:val="840"/>
    <w:uiPriority w:val="9"/>
    <w:qFormat/>
    <w:rPr>
      <w:rFonts w:ascii="Arial" w:hAnsi="Arial" w:eastAsia="Arial" w:cs="Arial"/>
      <w:sz w:val="40"/>
      <w:szCs w:val="40"/>
    </w:rPr>
  </w:style>
  <w:style w:type="character" w:styleId="892" w:customStyle="1">
    <w:name w:val="NormalCharacter11"/>
    <w:uiPriority w:val="0"/>
    <w:semiHidden/>
    <w:qFormat/>
    <w:rPr>
      <w:rFonts w:ascii="Times New Roman" w:hAnsi="Times New Roman"/>
      <w:sz w:val="21"/>
      <w:szCs w:val="24"/>
      <w:lang w:val="en-US" w:eastAsia="zh-CN" w:bidi="ar-SA"/>
    </w:rPr>
  </w:style>
  <w:style w:type="paragraph" w:styleId="893">
    <w:name w:val="List Paragraph"/>
    <w:basedOn w:val="791"/>
    <w:uiPriority w:val="34"/>
    <w:qFormat/>
    <w:pPr>
      <w:contextualSpacing/>
      <w:ind w:left="720"/>
    </w:pPr>
  </w:style>
  <w:style w:type="paragraph" w:styleId="894">
    <w:name w:val="No Spacing"/>
    <w:uiPriority w:val="1"/>
    <w:qFormat/>
    <w:rPr>
      <w:rFonts w:ascii="Times New Roman" w:hAnsi="Times New Roman" w:eastAsia="宋体" w:cs="Times New Roman"/>
      <w:lang w:val="en-US" w:eastAsia="zh-CN" w:bidi="ar-SA"/>
    </w:rPr>
  </w:style>
  <w:style w:type="paragraph" w:styleId="895">
    <w:name w:val="Quote"/>
    <w:basedOn w:val="791"/>
    <w:next w:val="791"/>
    <w:link w:val="896"/>
    <w:uiPriority w:val="29"/>
    <w:qFormat/>
    <w:pPr>
      <w:ind w:left="720" w:right="720"/>
    </w:pPr>
    <w:rPr>
      <w:i/>
    </w:rPr>
  </w:style>
  <w:style w:type="character" w:styleId="896" w:customStyle="1">
    <w:name w:val="引用 字符1"/>
    <w:link w:val="895"/>
    <w:uiPriority w:val="29"/>
    <w:qFormat/>
    <w:rPr>
      <w:i/>
    </w:rPr>
  </w:style>
  <w:style w:type="paragraph" w:styleId="897">
    <w:name w:val="Intense Quote"/>
    <w:basedOn w:val="791"/>
    <w:next w:val="791"/>
    <w:link w:val="898"/>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98" w:customStyle="1">
    <w:name w:val="明显引用 字符1"/>
    <w:link w:val="897"/>
    <w:uiPriority w:val="30"/>
    <w:qFormat/>
    <w:rPr>
      <w:i/>
    </w:rPr>
  </w:style>
  <w:style w:type="paragraph" w:styleId="899" w:customStyle="1">
    <w:name w:val="标题 111"/>
    <w:basedOn w:val="791"/>
    <w:next w:val="831"/>
    <w:uiPriority w:val="9"/>
    <w:qFormat/>
    <w:pPr>
      <w:keepLines/>
      <w:keepNext/>
      <w:spacing w:before="480" w:after="200"/>
      <w:outlineLvl w:val="0"/>
    </w:pPr>
    <w:rPr>
      <w:rFonts w:ascii="Arial" w:hAnsi="Arial" w:eastAsia="Arial" w:cs="Arial"/>
      <w:sz w:val="40"/>
      <w:szCs w:val="40"/>
    </w:rPr>
  </w:style>
  <w:style w:type="paragraph" w:styleId="900" w:customStyle="1">
    <w:name w:val="标题 211"/>
    <w:basedOn w:val="791"/>
    <w:next w:val="791"/>
    <w:link w:val="901"/>
    <w:uiPriority w:val="9"/>
    <w:qFormat/>
    <w:pPr>
      <w:keepLines/>
      <w:keepNext/>
      <w:spacing w:before="360" w:after="200"/>
      <w:outlineLvl w:val="1"/>
    </w:pPr>
    <w:rPr>
      <w:rFonts w:ascii="Arial" w:hAnsi="Arial" w:eastAsia="Arial" w:cs="Arial"/>
      <w:sz w:val="34"/>
    </w:rPr>
  </w:style>
  <w:style w:type="character" w:styleId="901" w:customStyle="1">
    <w:name w:val="标题 2 字符"/>
    <w:link w:val="900"/>
    <w:uiPriority w:val="9"/>
    <w:qFormat/>
    <w:rPr>
      <w:rFonts w:ascii="Arial" w:hAnsi="Arial" w:eastAsia="Arial" w:cs="Arial"/>
      <w:sz w:val="34"/>
    </w:rPr>
  </w:style>
  <w:style w:type="paragraph" w:styleId="902" w:customStyle="1">
    <w:name w:val="标题 31"/>
    <w:basedOn w:val="791"/>
    <w:next w:val="791"/>
    <w:link w:val="903"/>
    <w:uiPriority w:val="9"/>
    <w:qFormat/>
    <w:pPr>
      <w:keepLines/>
      <w:keepNext/>
      <w:spacing w:before="320" w:after="200"/>
      <w:outlineLvl w:val="2"/>
    </w:pPr>
    <w:rPr>
      <w:rFonts w:ascii="Arial" w:hAnsi="Arial" w:eastAsia="Arial" w:cs="Arial"/>
      <w:sz w:val="30"/>
      <w:szCs w:val="30"/>
    </w:rPr>
  </w:style>
  <w:style w:type="character" w:styleId="903" w:customStyle="1">
    <w:name w:val="标题 3 字符"/>
    <w:link w:val="902"/>
    <w:uiPriority w:val="9"/>
    <w:qFormat/>
    <w:rPr>
      <w:rFonts w:ascii="Arial" w:hAnsi="Arial" w:eastAsia="Arial" w:cs="Arial"/>
      <w:sz w:val="30"/>
      <w:szCs w:val="30"/>
    </w:rPr>
  </w:style>
  <w:style w:type="paragraph" w:styleId="904" w:customStyle="1">
    <w:name w:val="标题 41"/>
    <w:basedOn w:val="791"/>
    <w:next w:val="831"/>
    <w:link w:val="905"/>
    <w:uiPriority w:val="9"/>
    <w:qFormat/>
    <w:pPr>
      <w:keepLines/>
      <w:keepNext/>
      <w:spacing w:before="320" w:after="200"/>
      <w:outlineLvl w:val="3"/>
    </w:pPr>
    <w:rPr>
      <w:rFonts w:ascii="Arial" w:hAnsi="Arial" w:eastAsia="Arial" w:cs="Arial"/>
      <w:b/>
      <w:bCs/>
      <w:sz w:val="26"/>
      <w:szCs w:val="26"/>
    </w:rPr>
  </w:style>
  <w:style w:type="character" w:styleId="905" w:customStyle="1">
    <w:name w:val="标题 4 字符"/>
    <w:link w:val="904"/>
    <w:uiPriority w:val="9"/>
    <w:qFormat/>
    <w:rPr>
      <w:rFonts w:ascii="Arial" w:hAnsi="Arial" w:eastAsia="Arial" w:cs="Arial"/>
      <w:b/>
      <w:bCs/>
      <w:sz w:val="26"/>
      <w:szCs w:val="26"/>
    </w:rPr>
  </w:style>
  <w:style w:type="paragraph" w:styleId="906" w:customStyle="1">
    <w:name w:val="标题 51"/>
    <w:basedOn w:val="791"/>
    <w:next w:val="791"/>
    <w:link w:val="907"/>
    <w:uiPriority w:val="9"/>
    <w:qFormat/>
    <w:pPr>
      <w:keepLines/>
      <w:keepNext/>
      <w:spacing w:before="320" w:after="200"/>
      <w:outlineLvl w:val="4"/>
    </w:pPr>
    <w:rPr>
      <w:rFonts w:ascii="Arial" w:hAnsi="Arial" w:eastAsia="Arial" w:cs="Arial"/>
      <w:b/>
      <w:bCs/>
      <w:sz w:val="24"/>
    </w:rPr>
  </w:style>
  <w:style w:type="character" w:styleId="907" w:customStyle="1">
    <w:name w:val="标题 5 字符"/>
    <w:link w:val="906"/>
    <w:uiPriority w:val="9"/>
    <w:qFormat/>
    <w:rPr>
      <w:rFonts w:ascii="Arial" w:hAnsi="Arial" w:eastAsia="Arial" w:cs="Arial"/>
      <w:b/>
      <w:bCs/>
      <w:sz w:val="24"/>
      <w:szCs w:val="24"/>
    </w:rPr>
  </w:style>
  <w:style w:type="paragraph" w:styleId="908" w:customStyle="1">
    <w:name w:val="标题 61"/>
    <w:basedOn w:val="791"/>
    <w:next w:val="791"/>
    <w:link w:val="909"/>
    <w:uiPriority w:val="9"/>
    <w:qFormat/>
    <w:pPr>
      <w:keepLines/>
      <w:keepNext/>
      <w:spacing w:before="320" w:after="200"/>
      <w:outlineLvl w:val="5"/>
    </w:pPr>
    <w:rPr>
      <w:rFonts w:ascii="Arial" w:hAnsi="Arial" w:eastAsia="Arial" w:cs="Arial"/>
      <w:b/>
      <w:bCs/>
      <w:sz w:val="22"/>
      <w:szCs w:val="22"/>
    </w:rPr>
  </w:style>
  <w:style w:type="character" w:styleId="909" w:customStyle="1">
    <w:name w:val="标题 6 字符"/>
    <w:link w:val="908"/>
    <w:uiPriority w:val="9"/>
    <w:qFormat/>
    <w:rPr>
      <w:rFonts w:ascii="Arial" w:hAnsi="Arial" w:eastAsia="Arial" w:cs="Arial"/>
      <w:b/>
      <w:bCs/>
      <w:sz w:val="22"/>
      <w:szCs w:val="22"/>
    </w:rPr>
  </w:style>
  <w:style w:type="paragraph" w:styleId="910" w:customStyle="1">
    <w:name w:val="标题 71"/>
    <w:basedOn w:val="791"/>
    <w:next w:val="791"/>
    <w:link w:val="911"/>
    <w:uiPriority w:val="9"/>
    <w:qFormat/>
    <w:pPr>
      <w:keepLines/>
      <w:keepNext/>
      <w:spacing w:before="320" w:after="200"/>
      <w:outlineLvl w:val="6"/>
    </w:pPr>
    <w:rPr>
      <w:rFonts w:ascii="Arial" w:hAnsi="Arial" w:eastAsia="Arial" w:cs="Arial"/>
      <w:b/>
      <w:bCs/>
      <w:i/>
      <w:iCs/>
      <w:sz w:val="22"/>
      <w:szCs w:val="22"/>
    </w:rPr>
  </w:style>
  <w:style w:type="character" w:styleId="911" w:customStyle="1">
    <w:name w:val="标题 7 字符"/>
    <w:link w:val="910"/>
    <w:uiPriority w:val="9"/>
    <w:qFormat/>
    <w:rPr>
      <w:rFonts w:ascii="Arial" w:hAnsi="Arial" w:eastAsia="Arial" w:cs="Arial"/>
      <w:b/>
      <w:bCs/>
      <w:i/>
      <w:iCs/>
      <w:sz w:val="22"/>
      <w:szCs w:val="22"/>
    </w:rPr>
  </w:style>
  <w:style w:type="paragraph" w:styleId="912" w:customStyle="1">
    <w:name w:val="标题 81"/>
    <w:basedOn w:val="791"/>
    <w:next w:val="791"/>
    <w:link w:val="913"/>
    <w:uiPriority w:val="9"/>
    <w:qFormat/>
    <w:pPr>
      <w:keepLines/>
      <w:keepNext/>
      <w:spacing w:before="320" w:after="200"/>
      <w:outlineLvl w:val="7"/>
    </w:pPr>
    <w:rPr>
      <w:rFonts w:ascii="Arial" w:hAnsi="Arial" w:eastAsia="Arial" w:cs="Arial"/>
      <w:i/>
      <w:iCs/>
      <w:sz w:val="22"/>
      <w:szCs w:val="22"/>
    </w:rPr>
  </w:style>
  <w:style w:type="character" w:styleId="913" w:customStyle="1">
    <w:name w:val="标题 8 字符"/>
    <w:link w:val="912"/>
    <w:uiPriority w:val="9"/>
    <w:qFormat/>
    <w:rPr>
      <w:rFonts w:ascii="Arial" w:hAnsi="Arial" w:eastAsia="Arial" w:cs="Arial"/>
      <w:i/>
      <w:iCs/>
      <w:sz w:val="22"/>
      <w:szCs w:val="22"/>
    </w:rPr>
  </w:style>
  <w:style w:type="paragraph" w:styleId="914" w:customStyle="1">
    <w:name w:val="标题 91"/>
    <w:basedOn w:val="791"/>
    <w:next w:val="791"/>
    <w:link w:val="915"/>
    <w:uiPriority w:val="9"/>
    <w:qFormat/>
    <w:pPr>
      <w:keepLines/>
      <w:keepNext/>
      <w:spacing w:before="320" w:after="200"/>
      <w:outlineLvl w:val="8"/>
    </w:pPr>
    <w:rPr>
      <w:rFonts w:ascii="Arial" w:hAnsi="Arial" w:eastAsia="Arial" w:cs="Arial"/>
      <w:i/>
      <w:iCs/>
      <w:szCs w:val="21"/>
    </w:rPr>
  </w:style>
  <w:style w:type="character" w:styleId="915" w:customStyle="1">
    <w:name w:val="标题 9 字符"/>
    <w:link w:val="914"/>
    <w:uiPriority w:val="9"/>
    <w:qFormat/>
    <w:rPr>
      <w:rFonts w:ascii="Arial" w:hAnsi="Arial" w:eastAsia="Arial" w:cs="Arial"/>
      <w:i/>
      <w:iCs/>
      <w:sz w:val="21"/>
      <w:szCs w:val="21"/>
    </w:rPr>
  </w:style>
  <w:style w:type="character" w:styleId="916" w:customStyle="1">
    <w:name w:val="默认段落字体11"/>
    <w:uiPriority w:val="1"/>
    <w:unhideWhenUsed/>
    <w:qFormat/>
  </w:style>
  <w:style w:type="table" w:styleId="917" w:customStyle="1">
    <w:name w:val="普通表格11"/>
    <w:uiPriority w:val="99"/>
    <w:unhideWhenUsed/>
    <w:qFormat/>
    <w:tblPr>
      <w:tblCellMar>
        <w:left w:w="0" w:type="dxa"/>
        <w:top w:w="0" w:type="dxa"/>
        <w:right w:w="0" w:type="dxa"/>
        <w:bottom w:w="0" w:type="dxa"/>
      </w:tblCellMar>
    </w:tblPr>
  </w:style>
  <w:style w:type="character" w:styleId="918" w:customStyle="1">
    <w:name w:val="脚注引用1"/>
    <w:uiPriority w:val="99"/>
    <w:unhideWhenUsed/>
    <w:qFormat/>
    <w:rPr>
      <w:vertAlign w:val="superscript"/>
    </w:rPr>
  </w:style>
  <w:style w:type="character" w:styleId="919" w:customStyle="1">
    <w:name w:val="尾注引用1"/>
    <w:uiPriority w:val="99"/>
    <w:unhideWhenUsed/>
    <w:qFormat/>
    <w:rPr>
      <w:vertAlign w:val="superscript"/>
    </w:rPr>
  </w:style>
  <w:style w:type="character" w:styleId="920" w:customStyle="1">
    <w:name w:val="超链接11"/>
    <w:uiPriority w:val="99"/>
    <w:unhideWhenUsed/>
    <w:qFormat/>
    <w:rPr>
      <w:color w:val="0000ff"/>
      <w:u w:val="single"/>
    </w:rPr>
  </w:style>
  <w:style w:type="character" w:styleId="921" w:customStyle="1">
    <w:name w:val="Footer Char"/>
    <w:uiPriority w:val="99"/>
    <w:qFormat/>
  </w:style>
  <w:style w:type="character" w:styleId="922" w:customStyle="1">
    <w:name w:val="批注框文本 字符"/>
    <w:link w:val="923"/>
    <w:uiPriority w:val="0"/>
    <w:qFormat/>
    <w:rPr>
      <w:rFonts w:ascii="Times New Roman" w:hAnsi="Times New Roman" w:eastAsia="宋体" w:cs="Times New Roman"/>
      <w:sz w:val="18"/>
      <w:szCs w:val="18"/>
    </w:rPr>
  </w:style>
  <w:style w:type="paragraph" w:styleId="923" w:customStyle="1">
    <w:name w:val="批注框文本1"/>
    <w:basedOn w:val="791"/>
    <w:link w:val="922"/>
    <w:uiPriority w:val="0"/>
    <w:qFormat/>
    <w:rPr>
      <w:sz w:val="18"/>
      <w:szCs w:val="18"/>
    </w:rPr>
  </w:style>
  <w:style w:type="character" w:styleId="924" w:customStyle="1">
    <w:name w:val="标题 字符"/>
    <w:link w:val="925"/>
    <w:uiPriority w:val="10"/>
    <w:qFormat/>
    <w:rPr>
      <w:sz w:val="48"/>
      <w:szCs w:val="48"/>
    </w:rPr>
  </w:style>
  <w:style w:type="paragraph" w:styleId="925" w:customStyle="1">
    <w:name w:val="标题1"/>
    <w:basedOn w:val="791"/>
    <w:next w:val="791"/>
    <w:link w:val="924"/>
    <w:uiPriority w:val="10"/>
    <w:qFormat/>
    <w:pPr>
      <w:contextualSpacing/>
      <w:spacing w:before="300" w:after="200"/>
    </w:pPr>
    <w:rPr>
      <w:sz w:val="48"/>
      <w:szCs w:val="48"/>
    </w:rPr>
  </w:style>
  <w:style w:type="character" w:styleId="926" w:customStyle="1">
    <w:name w:val="副标题 字符"/>
    <w:link w:val="927"/>
    <w:uiPriority w:val="11"/>
    <w:qFormat/>
    <w:rPr>
      <w:sz w:val="24"/>
      <w:szCs w:val="24"/>
    </w:rPr>
  </w:style>
  <w:style w:type="paragraph" w:styleId="927" w:customStyle="1">
    <w:name w:val="副标题1"/>
    <w:basedOn w:val="791"/>
    <w:next w:val="791"/>
    <w:link w:val="926"/>
    <w:uiPriority w:val="11"/>
    <w:qFormat/>
    <w:pPr>
      <w:spacing w:before="200" w:after="200"/>
    </w:pPr>
    <w:rPr>
      <w:sz w:val="24"/>
    </w:rPr>
  </w:style>
  <w:style w:type="character" w:styleId="928" w:customStyle="1">
    <w:name w:val="页眉 字符"/>
    <w:link w:val="929"/>
    <w:uiPriority w:val="99"/>
    <w:qFormat/>
  </w:style>
  <w:style w:type="paragraph" w:styleId="929" w:customStyle="1">
    <w:name w:val="页眉11"/>
    <w:basedOn w:val="791"/>
    <w:link w:val="928"/>
    <w:uiPriority w:val="99"/>
    <w:unhideWhenUsed/>
    <w:qFormat/>
    <w:pPr>
      <w:tabs>
        <w:tab w:val="center" w:pos="7143" w:leader="none"/>
        <w:tab w:val="right" w:pos="14287" w:leader="none"/>
      </w:tabs>
    </w:pPr>
  </w:style>
  <w:style w:type="character" w:styleId="930" w:customStyle="1">
    <w:name w:val="font121"/>
    <w:uiPriority w:val="0"/>
    <w:qFormat/>
    <w:rPr>
      <w:rFonts w:hint="eastAsia" w:ascii="宋体" w:hAnsi="宋体" w:eastAsia="宋体" w:cs="宋体"/>
      <w:color w:val="000000"/>
      <w:sz w:val="18"/>
      <w:szCs w:val="18"/>
      <w:u w:val="none"/>
    </w:rPr>
  </w:style>
  <w:style w:type="character" w:styleId="931" w:customStyle="1">
    <w:name w:val="明显引用 字符"/>
    <w:link w:val="932"/>
    <w:uiPriority w:val="30"/>
    <w:qFormat/>
    <w:rPr>
      <w:i/>
    </w:rPr>
  </w:style>
  <w:style w:type="paragraph" w:styleId="932" w:customStyle="1">
    <w:name w:val="明显引用1"/>
    <w:basedOn w:val="791"/>
    <w:next w:val="791"/>
    <w:link w:val="931"/>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33" w:customStyle="1">
    <w:name w:val="引用 字符"/>
    <w:link w:val="934"/>
    <w:uiPriority w:val="29"/>
    <w:qFormat/>
    <w:rPr>
      <w:i/>
    </w:rPr>
  </w:style>
  <w:style w:type="paragraph" w:styleId="934" w:customStyle="1">
    <w:name w:val="引用1"/>
    <w:basedOn w:val="791"/>
    <w:next w:val="791"/>
    <w:link w:val="933"/>
    <w:uiPriority w:val="29"/>
    <w:qFormat/>
    <w:pPr>
      <w:ind w:left="720" w:right="720"/>
    </w:pPr>
    <w:rPr>
      <w:i/>
    </w:rPr>
  </w:style>
  <w:style w:type="character" w:styleId="935" w:customStyle="1">
    <w:name w:val="页脚 字符"/>
    <w:link w:val="936"/>
    <w:uiPriority w:val="99"/>
    <w:qFormat/>
  </w:style>
  <w:style w:type="paragraph" w:styleId="936" w:customStyle="1">
    <w:name w:val="页脚11"/>
    <w:basedOn w:val="791"/>
    <w:link w:val="935"/>
    <w:uiPriority w:val="99"/>
    <w:unhideWhenUsed/>
    <w:qFormat/>
    <w:pPr>
      <w:tabs>
        <w:tab w:val="center" w:pos="7143" w:leader="none"/>
        <w:tab w:val="right" w:pos="14287" w:leader="none"/>
      </w:tabs>
    </w:pPr>
  </w:style>
  <w:style w:type="character" w:styleId="937" w:customStyle="1">
    <w:name w:val="脚注文本 字符"/>
    <w:link w:val="938"/>
    <w:uiPriority w:val="99"/>
    <w:qFormat/>
    <w:rPr>
      <w:sz w:val="18"/>
    </w:rPr>
  </w:style>
  <w:style w:type="paragraph" w:styleId="938" w:customStyle="1">
    <w:name w:val="脚注文本11"/>
    <w:basedOn w:val="791"/>
    <w:link w:val="937"/>
    <w:uiPriority w:val="99"/>
    <w:unhideWhenUsed/>
    <w:qFormat/>
    <w:pPr>
      <w:spacing w:after="40"/>
    </w:pPr>
    <w:rPr>
      <w:sz w:val="18"/>
    </w:rPr>
  </w:style>
  <w:style w:type="character" w:styleId="939" w:customStyle="1">
    <w:name w:val="尾注文本 字符"/>
    <w:link w:val="940"/>
    <w:uiPriority w:val="99"/>
    <w:qFormat/>
    <w:rPr>
      <w:sz w:val="20"/>
    </w:rPr>
  </w:style>
  <w:style w:type="paragraph" w:styleId="940" w:customStyle="1">
    <w:name w:val="尾注文本1"/>
    <w:basedOn w:val="791"/>
    <w:link w:val="939"/>
    <w:uiPriority w:val="99"/>
    <w:unhideWhenUsed/>
    <w:qFormat/>
    <w:rPr>
      <w:sz w:val="20"/>
    </w:rPr>
  </w:style>
  <w:style w:type="character" w:styleId="941" w:customStyle="1">
    <w:name w:val="默认段落字体1"/>
    <w:uiPriority w:val="1"/>
    <w:unhideWhenUsed/>
    <w:qFormat/>
  </w:style>
  <w:style w:type="character" w:styleId="942" w:customStyle="1">
    <w:name w:val="超链接1"/>
    <w:uiPriority w:val="99"/>
    <w:unhideWhenUsed/>
    <w:qFormat/>
    <w:rPr>
      <w:color w:val="0000ff"/>
      <w:u w:val="single"/>
    </w:rPr>
  </w:style>
  <w:style w:type="character" w:styleId="943" w:customStyle="1">
    <w:name w:val="批注引用1"/>
    <w:uiPriority w:val="0"/>
    <w:qFormat/>
    <w:rPr>
      <w:sz w:val="21"/>
      <w:szCs w:val="21"/>
    </w:rPr>
  </w:style>
  <w:style w:type="character" w:styleId="944" w:customStyle="1">
    <w:name w:val="批注文字 字符"/>
    <w:link w:val="945"/>
    <w:uiPriority w:val="0"/>
    <w:qFormat/>
    <w:rPr>
      <w:rFonts w:ascii="Times New Roman" w:hAnsi="Times New Roman" w:eastAsia="宋体" w:cs="Times New Roman"/>
      <w:sz w:val="21"/>
      <w:szCs w:val="24"/>
    </w:rPr>
  </w:style>
  <w:style w:type="paragraph" w:styleId="945" w:customStyle="1">
    <w:name w:val="批注文字1"/>
    <w:basedOn w:val="791"/>
    <w:link w:val="944"/>
    <w:uiPriority w:val="0"/>
    <w:qFormat/>
    <w:pPr>
      <w:jc w:val="left"/>
    </w:pPr>
  </w:style>
  <w:style w:type="character" w:styleId="946" w:customStyle="1">
    <w:name w:val="批注主题 字符"/>
    <w:link w:val="947"/>
    <w:uiPriority w:val="0"/>
    <w:qFormat/>
    <w:rPr>
      <w:rFonts w:ascii="Times New Roman" w:hAnsi="Times New Roman" w:eastAsia="宋体" w:cs="Times New Roman"/>
      <w:b/>
      <w:bCs/>
      <w:sz w:val="21"/>
      <w:szCs w:val="24"/>
    </w:rPr>
  </w:style>
  <w:style w:type="paragraph" w:styleId="947" w:customStyle="1">
    <w:name w:val="批注主题1"/>
    <w:basedOn w:val="945"/>
    <w:next w:val="945"/>
    <w:link w:val="946"/>
    <w:uiPriority w:val="0"/>
    <w:qFormat/>
    <w:rPr>
      <w:b/>
      <w:bCs/>
    </w:rPr>
  </w:style>
  <w:style w:type="character" w:styleId="948" w:customStyle="1">
    <w:name w:val="font11"/>
    <w:uiPriority w:val="0"/>
    <w:qFormat/>
    <w:rPr>
      <w:rFonts w:hint="eastAsia" w:ascii="黑体" w:hAnsi="宋体" w:eastAsia="黑体" w:cs="黑体"/>
      <w:color w:val="000000"/>
      <w:sz w:val="18"/>
      <w:szCs w:val="18"/>
      <w:u w:val="none"/>
    </w:rPr>
  </w:style>
  <w:style w:type="character" w:styleId="949" w:customStyle="1">
    <w:name w:val="wyg1"/>
    <w:link w:val="791"/>
    <w:uiPriority w:val="6"/>
    <w:qFormat/>
    <w:rPr>
      <w:rFonts w:ascii="Times New Roman" w:hAnsi="Times New Roman" w:eastAsia="宋体" w:cs="Times New Roman"/>
      <w:sz w:val="21"/>
      <w:szCs w:val="24"/>
      <w:lang w:val="en-US" w:eastAsia="zh-CN" w:bidi="ar-SA"/>
    </w:rPr>
  </w:style>
  <w:style w:type="character" w:styleId="950" w:customStyle="1">
    <w:name w:val="NormalCharacter1"/>
    <w:uiPriority w:val="0"/>
    <w:semiHidden/>
    <w:qFormat/>
    <w:rPr>
      <w:sz w:val="28"/>
      <w:lang w:val="en-US" w:eastAsia="zh-CN" w:bidi="ar-SA"/>
    </w:rPr>
  </w:style>
  <w:style w:type="character" w:styleId="951" w:customStyle="1">
    <w:name w:val="font21"/>
    <w:uiPriority w:val="0"/>
    <w:qFormat/>
    <w:rPr>
      <w:rFonts w:hint="eastAsia" w:ascii="宋体" w:hAnsi="宋体" w:eastAsia="宋体" w:cs="宋体"/>
      <w:b/>
      <w:bCs/>
      <w:color w:val="000000"/>
      <w:sz w:val="28"/>
      <w:szCs w:val="28"/>
      <w:u w:val="none"/>
    </w:rPr>
  </w:style>
  <w:style w:type="character" w:styleId="952" w:customStyle="1">
    <w:name w:val="font131"/>
    <w:uiPriority w:val="0"/>
    <w:qFormat/>
    <w:rPr>
      <w:rFonts w:hint="eastAsia" w:ascii="宋体" w:hAnsi="宋体" w:eastAsia="宋体" w:cs="宋体"/>
      <w:color w:val="000000"/>
      <w:sz w:val="20"/>
      <w:szCs w:val="20"/>
      <w:u w:val="none"/>
    </w:rPr>
  </w:style>
  <w:style w:type="character" w:styleId="953" w:customStyle="1">
    <w:name w:val="font41"/>
    <w:uiPriority w:val="0"/>
    <w:qFormat/>
    <w:rPr>
      <w:rFonts w:ascii="Arial" w:hAnsi="Arial" w:cs="Arial"/>
      <w:color w:val="000000"/>
      <w:sz w:val="22"/>
      <w:szCs w:val="22"/>
      <w:u w:val="none"/>
    </w:rPr>
  </w:style>
  <w:style w:type="paragraph" w:styleId="954" w:customStyle="1">
    <w:name w:val="题注1"/>
    <w:basedOn w:val="791"/>
    <w:next w:val="791"/>
    <w:uiPriority w:val="35"/>
    <w:qFormat/>
    <w:pPr>
      <w:spacing w:line="276" w:lineRule="auto"/>
    </w:pPr>
    <w:rPr>
      <w:b/>
      <w:bCs/>
      <w:color w:val="4f81bd"/>
      <w:sz w:val="18"/>
      <w:szCs w:val="18"/>
    </w:rPr>
  </w:style>
  <w:style w:type="paragraph" w:styleId="955" w:customStyle="1">
    <w:name w:val="目录 91"/>
    <w:basedOn w:val="791"/>
    <w:next w:val="791"/>
    <w:uiPriority w:val="39"/>
    <w:unhideWhenUsed/>
    <w:qFormat/>
    <w:pPr>
      <w:ind w:left="2268"/>
      <w:spacing w:after="57"/>
    </w:pPr>
  </w:style>
  <w:style w:type="paragraph" w:styleId="956" w:customStyle="1">
    <w:name w:val="正文缩进11"/>
    <w:basedOn w:val="791"/>
    <w:uiPriority w:val="0"/>
    <w:unhideWhenUsed/>
    <w:qFormat/>
    <w:pPr>
      <w:ind w:firstLine="420"/>
    </w:pPr>
  </w:style>
  <w:style w:type="paragraph" w:styleId="957" w:customStyle="1">
    <w:name w:val="目录 71"/>
    <w:basedOn w:val="791"/>
    <w:next w:val="791"/>
    <w:uiPriority w:val="39"/>
    <w:unhideWhenUsed/>
    <w:qFormat/>
    <w:pPr>
      <w:ind w:left="1701"/>
      <w:spacing w:after="57"/>
    </w:pPr>
  </w:style>
  <w:style w:type="paragraph" w:styleId="958" w:customStyle="1">
    <w:name w:val="图表目录1"/>
    <w:basedOn w:val="791"/>
    <w:next w:val="791"/>
    <w:uiPriority w:val="99"/>
    <w:unhideWhenUsed/>
    <w:qFormat/>
  </w:style>
  <w:style w:type="paragraph" w:styleId="959" w:customStyle="1">
    <w:name w:val="目录 31"/>
    <w:basedOn w:val="791"/>
    <w:next w:val="791"/>
    <w:uiPriority w:val="39"/>
    <w:unhideWhenUsed/>
    <w:qFormat/>
    <w:pPr>
      <w:ind w:left="567"/>
      <w:spacing w:after="57"/>
    </w:pPr>
  </w:style>
  <w:style w:type="paragraph" w:styleId="960" w:customStyle="1">
    <w:name w:val="目录 61"/>
    <w:basedOn w:val="791"/>
    <w:next w:val="791"/>
    <w:uiPriority w:val="39"/>
    <w:unhideWhenUsed/>
    <w:qFormat/>
    <w:pPr>
      <w:ind w:left="1417"/>
      <w:spacing w:after="57"/>
    </w:pPr>
  </w:style>
  <w:style w:type="paragraph" w:styleId="961" w:customStyle="1">
    <w:name w:val="目录 41"/>
    <w:basedOn w:val="791"/>
    <w:next w:val="791"/>
    <w:uiPriority w:val="39"/>
    <w:unhideWhenUsed/>
    <w:qFormat/>
    <w:pPr>
      <w:ind w:left="850"/>
      <w:spacing w:after="57"/>
    </w:pPr>
  </w:style>
  <w:style w:type="paragraph" w:styleId="962" w:customStyle="1">
    <w:name w:val="正文缩进1"/>
    <w:basedOn w:val="791"/>
    <w:uiPriority w:val="0"/>
    <w:qFormat/>
    <w:pPr>
      <w:ind w:firstLine="420"/>
    </w:pPr>
  </w:style>
  <w:style w:type="paragraph" w:styleId="963" w:customStyle="1">
    <w:name w:val="目录 21"/>
    <w:basedOn w:val="791"/>
    <w:next w:val="791"/>
    <w:uiPriority w:val="39"/>
    <w:unhideWhenUsed/>
    <w:qFormat/>
    <w:pPr>
      <w:ind w:left="283"/>
      <w:spacing w:after="57"/>
    </w:pPr>
  </w:style>
  <w:style w:type="paragraph" w:styleId="964" w:customStyle="1">
    <w:name w:val="目录 51"/>
    <w:basedOn w:val="791"/>
    <w:next w:val="791"/>
    <w:uiPriority w:val="39"/>
    <w:unhideWhenUsed/>
    <w:qFormat/>
    <w:pPr>
      <w:ind w:left="1134"/>
      <w:spacing w:after="57"/>
    </w:pPr>
  </w:style>
  <w:style w:type="paragraph" w:styleId="965" w:customStyle="1">
    <w:name w:val="目录 111"/>
    <w:basedOn w:val="791"/>
    <w:next w:val="791"/>
    <w:uiPriority w:val="39"/>
    <w:unhideWhenUsed/>
    <w:qFormat/>
    <w:pPr>
      <w:spacing w:after="57"/>
    </w:pPr>
  </w:style>
  <w:style w:type="paragraph" w:styleId="966" w:customStyle="1">
    <w:name w:val="目录 81"/>
    <w:basedOn w:val="791"/>
    <w:next w:val="791"/>
    <w:uiPriority w:val="39"/>
    <w:unhideWhenUsed/>
    <w:qFormat/>
    <w:pPr>
      <w:ind w:left="1984"/>
      <w:spacing w:after="57"/>
    </w:pPr>
  </w:style>
  <w:style w:type="paragraph" w:styleId="967" w:customStyle="1">
    <w:name w:val="普通(网站)1"/>
    <w:basedOn w:val="791"/>
    <w:uiPriority w:val="0"/>
    <w:qFormat/>
    <w:pPr>
      <w:jc w:val="left"/>
      <w:spacing w:before="100" w:beforeAutospacing="1" w:after="100" w:afterAutospacing="1"/>
      <w:widowControl/>
    </w:pPr>
    <w:rPr>
      <w:rFonts w:ascii="宋体" w:hAnsi="宋体" w:cs="宋体"/>
      <w:color w:val="000000"/>
      <w:sz w:val="24"/>
      <w:szCs w:val="20"/>
    </w:rPr>
  </w:style>
  <w:style w:type="paragraph" w:styleId="968" w:customStyle="1">
    <w:name w:val="列表段落"/>
    <w:basedOn w:val="791"/>
    <w:uiPriority w:val="34"/>
    <w:qFormat/>
    <w:pPr>
      <w:contextualSpacing/>
      <w:ind w:left="720"/>
    </w:pPr>
  </w:style>
  <w:style w:type="paragraph" w:styleId="969" w:customStyle="1">
    <w:name w:val="TOC 标题1"/>
    <w:uiPriority w:val="39"/>
    <w:unhideWhenUsed/>
    <w:qFormat/>
    <w:rPr>
      <w:rFonts w:ascii="Calibri" w:hAnsi="Calibri" w:eastAsia="宋体" w:cs="Times New Roman"/>
      <w:lang w:val="en-US" w:eastAsia="zh-CN" w:bidi="ar-SA"/>
    </w:rPr>
  </w:style>
  <w:style w:type="paragraph" w:styleId="970" w:customStyle="1">
    <w:name w:val="索引 51"/>
    <w:basedOn w:val="830"/>
    <w:next w:val="830"/>
    <w:uiPriority w:val="0"/>
    <w:qFormat/>
    <w:pPr>
      <w:ind w:left="798"/>
    </w:pPr>
    <w:rPr>
      <w:rFonts w:ascii="Calibri"/>
    </w:rPr>
  </w:style>
  <w:style w:type="paragraph" w:styleId="971" w:customStyle="1">
    <w:name w:val="正文文本1"/>
    <w:basedOn w:val="830"/>
    <w:next w:val="836"/>
    <w:uiPriority w:val="99"/>
    <w:qFormat/>
    <w:pPr>
      <w:spacing w:after="120"/>
    </w:pPr>
    <w:rPr>
      <w:rFonts w:ascii="Calibri"/>
    </w:rPr>
  </w:style>
  <w:style w:type="paragraph" w:styleId="972" w:customStyle="1">
    <w:name w:val="脚注文本1"/>
    <w:basedOn w:val="830"/>
    <w:next w:val="970"/>
    <w:uiPriority w:val="0"/>
    <w:qFormat/>
    <w:rPr>
      <w:rFonts w:eastAsia="Times New Roman"/>
      <w:sz w:val="18"/>
      <w:szCs w:val="18"/>
    </w:rPr>
  </w:style>
  <w:style w:type="paragraph" w:styleId="973" w:customStyle="1">
    <w:name w:val="页眉1"/>
    <w:basedOn w:val="791"/>
    <w:uiPriority w:val="99"/>
    <w:qFormat/>
    <w:pPr>
      <w:jc w:val="center"/>
      <w:tabs>
        <w:tab w:val="center" w:pos="4153" w:leader="none"/>
        <w:tab w:val="right" w:pos="8306" w:leader="none"/>
      </w:tabs>
      <w:pBdr>
        <w:bottom w:val="single" w:color="000000" w:sz="6" w:space="1"/>
      </w:pBdr>
    </w:pPr>
    <w:rPr>
      <w:sz w:val="18"/>
      <w:szCs w:val="18"/>
    </w:rPr>
  </w:style>
  <w:style w:type="paragraph" w:styleId="974" w:customStyle="1">
    <w:name w:val="标题 21"/>
    <w:basedOn w:val="791"/>
    <w:next w:val="791"/>
    <w:uiPriority w:val="0"/>
    <w:qFormat/>
    <w:pPr>
      <w:jc w:val="left"/>
      <w:keepLines/>
      <w:keepNext/>
      <w:spacing w:before="50"/>
      <w:tabs>
        <w:tab w:val="left" w:pos="0" w:leader="none"/>
      </w:tabs>
    </w:pPr>
    <w:rPr>
      <w:rFonts w:ascii="Arial" w:hAnsi="Arial" w:eastAsia="黑体"/>
      <w:sz w:val="32"/>
      <w:szCs w:val="20"/>
    </w:rPr>
  </w:style>
  <w:style w:type="paragraph" w:styleId="975" w:customStyle="1">
    <w:name w:val="无间隔1"/>
    <w:uiPriority w:val="1"/>
    <w:qFormat/>
    <w:rPr>
      <w:rFonts w:ascii="Calibri" w:hAnsi="Calibri" w:eastAsia="宋体" w:cs="Times New Roman"/>
      <w:lang w:val="en-US" w:eastAsia="zh-CN" w:bidi="ar-SA"/>
    </w:rPr>
  </w:style>
  <w:style w:type="paragraph" w:styleId="976" w:customStyle="1">
    <w:name w:val="EnvelopeReturn1"/>
    <w:basedOn w:val="791"/>
    <w:uiPriority w:val="0"/>
    <w:qFormat/>
    <w:rPr>
      <w:rFonts w:ascii="Arial" w:hAnsi="Arial"/>
    </w:rPr>
  </w:style>
  <w:style w:type="paragraph" w:styleId="977" w:customStyle="1">
    <w:name w:val="EnvelopeReturn11"/>
    <w:basedOn w:val="791"/>
    <w:uiPriority w:val="0"/>
    <w:qFormat/>
    <w:rPr>
      <w:rFonts w:ascii="Arial" w:hAnsi="Arial"/>
    </w:rPr>
  </w:style>
  <w:style w:type="paragraph" w:styleId="978" w:customStyle="1">
    <w:name w:val="文本块1"/>
    <w:basedOn w:val="791"/>
    <w:uiPriority w:val="99"/>
    <w:unhideWhenUsed/>
    <w:qFormat/>
    <w:pPr>
      <w:ind w:left="1440" w:right="1440"/>
      <w:spacing w:after="120"/>
    </w:pPr>
  </w:style>
  <w:style w:type="paragraph" w:styleId="979" w:customStyle="1">
    <w:name w:val="标题 11"/>
    <w:basedOn w:val="791"/>
    <w:next w:val="791"/>
    <w:uiPriority w:val="0"/>
    <w:qFormat/>
    <w:pPr>
      <w:jc w:val="center"/>
      <w:keepLines/>
      <w:keepNext/>
      <w:spacing w:line="578" w:lineRule="auto"/>
      <w:outlineLvl w:val="0"/>
    </w:pPr>
    <w:rPr>
      <w:rFonts w:eastAsia="新宋体"/>
      <w:b/>
      <w:bCs/>
      <w:sz w:val="30"/>
      <w:szCs w:val="44"/>
    </w:rPr>
  </w:style>
  <w:style w:type="paragraph" w:styleId="980" w:customStyle="1">
    <w:name w:val="BodyTextIndent1"/>
    <w:basedOn w:val="791"/>
    <w:next w:val="976"/>
    <w:uiPriority w:val="0"/>
    <w:qFormat/>
    <w:pPr>
      <w:ind w:left="420"/>
      <w:spacing w:after="120"/>
    </w:pPr>
  </w:style>
  <w:style w:type="paragraph" w:styleId="981" w:customStyle="1">
    <w:name w:val="页脚1"/>
    <w:basedOn w:val="791"/>
    <w:uiPriority w:val="99"/>
    <w:qFormat/>
    <w:pPr>
      <w:jc w:val="left"/>
      <w:tabs>
        <w:tab w:val="center" w:pos="4153" w:leader="none"/>
        <w:tab w:val="right" w:pos="8306" w:leader="none"/>
      </w:tabs>
    </w:pPr>
    <w:rPr>
      <w:sz w:val="18"/>
      <w:szCs w:val="18"/>
    </w:rPr>
  </w:style>
  <w:style w:type="paragraph" w:styleId="982" w:customStyle="1">
    <w:name w:val="正文缩进2"/>
    <w:basedOn w:val="791"/>
    <w:uiPriority w:val="0"/>
    <w:qFormat/>
    <w:pPr>
      <w:ind w:firstLine="420"/>
    </w:pPr>
  </w:style>
  <w:style w:type="paragraph" w:styleId="983" w:customStyle="1">
    <w:name w:val="BodyTextIndent11"/>
    <w:basedOn w:val="791"/>
    <w:next w:val="977"/>
    <w:uiPriority w:val="0"/>
    <w:qFormat/>
    <w:pPr>
      <w:ind w:left="420"/>
      <w:spacing w:after="120"/>
    </w:pPr>
  </w:style>
  <w:style w:type="paragraph" w:styleId="984" w:customStyle="1">
    <w:name w:val="Body text|21"/>
    <w:basedOn w:val="791"/>
    <w:uiPriority w:val="0"/>
    <w:qFormat/>
    <w:pPr>
      <w:spacing w:before="500" w:after="260" w:line="200" w:lineRule="exact"/>
      <w:shd w:val="clear" w:color="auto" w:fill="ffffff"/>
    </w:pPr>
    <w:rPr>
      <w:rFonts w:ascii="PMingLiU" w:hAnsi="PMingLiU" w:eastAsia="PMingLiU" w:cs="PMingLiU"/>
      <w:spacing w:val="10"/>
      <w:sz w:val="20"/>
      <w:szCs w:val="20"/>
    </w:rPr>
  </w:style>
  <w:style w:type="table" w:styleId="985" w:customStyle="1">
    <w:name w:val="Grid Table 4 - Accent 2"/>
    <w:uiPriority w:val="59"/>
    <w:qFormat/>
    <w:tblPr>
      <w:tblCellMar>
        <w:left w:w="0" w:type="dxa"/>
        <w:top w:w="0" w:type="dxa"/>
        <w:right w:w="0" w:type="dxa"/>
        <w:bottom w:w="0" w:type="dxa"/>
      </w:tblCellMar>
    </w:tblPr>
  </w:style>
  <w:style w:type="table" w:styleId="986" w:customStyle="1">
    <w:name w:val="Lined - Accent 3"/>
    <w:uiPriority w:val="99"/>
    <w:qFormat/>
    <w:rPr>
      <w:color w:val="404040"/>
    </w:rPr>
    <w:tblPr>
      <w:tblCellMar>
        <w:left w:w="0" w:type="dxa"/>
        <w:top w:w="0" w:type="dxa"/>
        <w:right w:w="0" w:type="dxa"/>
        <w:bottom w:w="0" w:type="dxa"/>
      </w:tblCellMar>
    </w:tblPr>
  </w:style>
  <w:style w:type="table" w:styleId="987" w:customStyle="1">
    <w:name w:val="网格型11"/>
    <w:uiPriority w:val="59"/>
    <w:qFormat/>
    <w:tblPr>
      <w:tblCellMar>
        <w:left w:w="0" w:type="dxa"/>
        <w:top w:w="0" w:type="dxa"/>
        <w:right w:w="0" w:type="dxa"/>
        <w:bottom w:w="0" w:type="dxa"/>
      </w:tblCellMar>
    </w:tblPr>
  </w:style>
  <w:style w:type="table" w:styleId="988" w:customStyle="1">
    <w:name w:val="List Table 6 Colorful - Accent 1"/>
    <w:uiPriority w:val="99"/>
    <w:qFormat/>
    <w:tblPr>
      <w:tblCellMar>
        <w:left w:w="0" w:type="dxa"/>
        <w:top w:w="0" w:type="dxa"/>
        <w:right w:w="0" w:type="dxa"/>
        <w:bottom w:w="0" w:type="dxa"/>
      </w:tblCellMar>
    </w:tblPr>
  </w:style>
  <w:style w:type="table" w:styleId="989" w:customStyle="1">
    <w:name w:val="Grid Table 2 - Accent 4"/>
    <w:uiPriority w:val="99"/>
    <w:qFormat/>
    <w:tblPr>
      <w:tblCellMar>
        <w:left w:w="0" w:type="dxa"/>
        <w:top w:w="0" w:type="dxa"/>
        <w:right w:w="0" w:type="dxa"/>
        <w:bottom w:w="0" w:type="dxa"/>
      </w:tblCellMar>
    </w:tblPr>
  </w:style>
  <w:style w:type="table" w:styleId="990" w:customStyle="1">
    <w:name w:val="List Table 3 - Accent 5"/>
    <w:uiPriority w:val="99"/>
    <w:qFormat/>
    <w:tblPr>
      <w:tblCellMar>
        <w:left w:w="0" w:type="dxa"/>
        <w:top w:w="0" w:type="dxa"/>
        <w:right w:w="0" w:type="dxa"/>
        <w:bottom w:w="0" w:type="dxa"/>
      </w:tblCellMar>
    </w:tblPr>
  </w:style>
  <w:style w:type="table" w:styleId="991" w:customStyle="1">
    <w:name w:val="普通表格1"/>
    <w:uiPriority w:val="99"/>
    <w:unhideWhenUsed/>
    <w:qFormat/>
    <w:tblPr>
      <w:tblCellMar>
        <w:left w:w="0" w:type="dxa"/>
        <w:top w:w="0" w:type="dxa"/>
        <w:right w:w="0" w:type="dxa"/>
        <w:bottom w:w="0" w:type="dxa"/>
      </w:tblCellMar>
    </w:tblPr>
  </w:style>
  <w:style w:type="table" w:styleId="992" w:customStyle="1">
    <w:name w:val="List Table 3 - Accent 3"/>
    <w:uiPriority w:val="99"/>
    <w:qFormat/>
    <w:tblPr>
      <w:tblCellMar>
        <w:left w:w="0" w:type="dxa"/>
        <w:top w:w="0" w:type="dxa"/>
        <w:right w:w="0" w:type="dxa"/>
        <w:bottom w:w="0" w:type="dxa"/>
      </w:tblCellMar>
    </w:tblPr>
  </w:style>
  <w:style w:type="table" w:styleId="993" w:customStyle="1">
    <w:name w:val="List Table 4 - Accent 2"/>
    <w:uiPriority w:val="99"/>
    <w:qFormat/>
    <w:tblPr>
      <w:tblCellMar>
        <w:left w:w="0" w:type="dxa"/>
        <w:top w:w="0" w:type="dxa"/>
        <w:right w:w="0" w:type="dxa"/>
        <w:bottom w:w="0" w:type="dxa"/>
      </w:tblCellMar>
    </w:tblPr>
  </w:style>
  <w:style w:type="table" w:styleId="994" w:customStyle="1">
    <w:name w:val="List Table 6 Colorful - Accent 2"/>
    <w:uiPriority w:val="99"/>
    <w:qFormat/>
    <w:tblPr>
      <w:tblCellMar>
        <w:left w:w="0" w:type="dxa"/>
        <w:top w:w="0" w:type="dxa"/>
        <w:right w:w="0" w:type="dxa"/>
        <w:bottom w:w="0" w:type="dxa"/>
      </w:tblCellMar>
    </w:tblPr>
  </w:style>
  <w:style w:type="table" w:styleId="995" w:customStyle="1">
    <w:name w:val="List Table 4 - Accent 4"/>
    <w:uiPriority w:val="99"/>
    <w:qFormat/>
    <w:tblPr>
      <w:tblCellMar>
        <w:left w:w="0" w:type="dxa"/>
        <w:top w:w="0" w:type="dxa"/>
        <w:right w:w="0" w:type="dxa"/>
        <w:bottom w:w="0" w:type="dxa"/>
      </w:tblCellMar>
    </w:tblPr>
  </w:style>
  <w:style w:type="table" w:styleId="996" w:customStyle="1">
    <w:name w:val="List Table 5 Dark - Accent 3"/>
    <w:uiPriority w:val="99"/>
    <w:qFormat/>
    <w:tblPr>
      <w:tblCellMar>
        <w:left w:w="0" w:type="dxa"/>
        <w:top w:w="0" w:type="dxa"/>
        <w:right w:w="0" w:type="dxa"/>
        <w:bottom w:w="0" w:type="dxa"/>
      </w:tblCellMar>
    </w:tblPr>
  </w:style>
  <w:style w:type="table" w:styleId="997" w:customStyle="1">
    <w:name w:val="清单表 21"/>
    <w:uiPriority w:val="99"/>
    <w:qFormat/>
    <w:tblPr>
      <w:tblCellMar>
        <w:left w:w="0" w:type="dxa"/>
        <w:top w:w="0" w:type="dxa"/>
        <w:right w:w="0" w:type="dxa"/>
        <w:bottom w:w="0" w:type="dxa"/>
      </w:tblCellMar>
    </w:tblPr>
  </w:style>
  <w:style w:type="table" w:styleId="998" w:customStyle="1">
    <w:name w:val="List Table 5 Dark - Accent 1"/>
    <w:uiPriority w:val="99"/>
    <w:qFormat/>
    <w:tblPr>
      <w:tblCellMar>
        <w:left w:w="0" w:type="dxa"/>
        <w:top w:w="0" w:type="dxa"/>
        <w:right w:w="0" w:type="dxa"/>
        <w:bottom w:w="0" w:type="dxa"/>
      </w:tblCellMar>
    </w:tblPr>
  </w:style>
  <w:style w:type="table" w:styleId="999" w:customStyle="1">
    <w:name w:val="Grid Table 7 Colorful - Accent 5"/>
    <w:uiPriority w:val="99"/>
    <w:qFormat/>
    <w:tblPr>
      <w:tblCellMar>
        <w:left w:w="0" w:type="dxa"/>
        <w:top w:w="0" w:type="dxa"/>
        <w:right w:w="0" w:type="dxa"/>
        <w:bottom w:w="0" w:type="dxa"/>
      </w:tblCellMar>
    </w:tblPr>
  </w:style>
  <w:style w:type="table" w:styleId="1000" w:customStyle="1">
    <w:name w:val="List Table 2 - Accent 5"/>
    <w:uiPriority w:val="99"/>
    <w:qFormat/>
    <w:tblPr>
      <w:tblCellMar>
        <w:left w:w="0" w:type="dxa"/>
        <w:top w:w="0" w:type="dxa"/>
        <w:right w:w="0" w:type="dxa"/>
        <w:bottom w:w="0" w:type="dxa"/>
      </w:tblCellMar>
    </w:tblPr>
  </w:style>
  <w:style w:type="table" w:styleId="1001" w:customStyle="1">
    <w:name w:val="清单表 5 深色1"/>
    <w:uiPriority w:val="99"/>
    <w:qFormat/>
    <w:tblPr>
      <w:tblCellMar>
        <w:left w:w="0" w:type="dxa"/>
        <w:top w:w="0" w:type="dxa"/>
        <w:right w:w="0" w:type="dxa"/>
        <w:bottom w:w="0" w:type="dxa"/>
      </w:tblCellMar>
    </w:tblPr>
  </w:style>
  <w:style w:type="table" w:styleId="1002" w:customStyle="1">
    <w:name w:val="List Table 1 Light - Accent 5"/>
    <w:uiPriority w:val="99"/>
    <w:qFormat/>
    <w:tblPr>
      <w:tblCellMar>
        <w:left w:w="0" w:type="dxa"/>
        <w:top w:w="0" w:type="dxa"/>
        <w:right w:w="0" w:type="dxa"/>
        <w:bottom w:w="0" w:type="dxa"/>
      </w:tblCellMar>
    </w:tblPr>
  </w:style>
  <w:style w:type="table" w:styleId="1003" w:customStyle="1">
    <w:name w:val="Grid Table 7 Colorful - Accent 3"/>
    <w:uiPriority w:val="99"/>
    <w:qFormat/>
    <w:tblPr>
      <w:tblCellMar>
        <w:left w:w="0" w:type="dxa"/>
        <w:top w:w="0" w:type="dxa"/>
        <w:right w:w="0" w:type="dxa"/>
        <w:bottom w:w="0" w:type="dxa"/>
      </w:tblCellMar>
    </w:tblPr>
  </w:style>
  <w:style w:type="table" w:styleId="1004" w:customStyle="1">
    <w:name w:val="List Table 3 - Accent 6"/>
    <w:uiPriority w:val="99"/>
    <w:qFormat/>
    <w:tblPr>
      <w:tblCellMar>
        <w:left w:w="0" w:type="dxa"/>
        <w:top w:w="0" w:type="dxa"/>
        <w:right w:w="0" w:type="dxa"/>
        <w:bottom w:w="0" w:type="dxa"/>
      </w:tblCellMar>
    </w:tblPr>
  </w:style>
  <w:style w:type="table" w:styleId="1005" w:customStyle="1">
    <w:name w:val="List Table 5 Dark - Accent 6"/>
    <w:uiPriority w:val="99"/>
    <w:qFormat/>
    <w:tblPr>
      <w:tblCellMar>
        <w:left w:w="0" w:type="dxa"/>
        <w:top w:w="0" w:type="dxa"/>
        <w:right w:w="0" w:type="dxa"/>
        <w:bottom w:w="0" w:type="dxa"/>
      </w:tblCellMar>
    </w:tblPr>
  </w:style>
  <w:style w:type="table" w:styleId="1006" w:customStyle="1">
    <w:name w:val="List Table 4 - Accent 3"/>
    <w:uiPriority w:val="99"/>
    <w:qFormat/>
    <w:tblPr>
      <w:tblCellMar>
        <w:left w:w="0" w:type="dxa"/>
        <w:top w:w="0" w:type="dxa"/>
        <w:right w:w="0" w:type="dxa"/>
        <w:bottom w:w="0" w:type="dxa"/>
      </w:tblCellMar>
    </w:tblPr>
  </w:style>
  <w:style w:type="table" w:styleId="1007" w:customStyle="1">
    <w:name w:val="List Table 5 Dark - Accent 2"/>
    <w:uiPriority w:val="99"/>
    <w:qFormat/>
    <w:tblPr>
      <w:tblCellMar>
        <w:left w:w="0" w:type="dxa"/>
        <w:top w:w="0" w:type="dxa"/>
        <w:right w:w="0" w:type="dxa"/>
        <w:bottom w:w="0" w:type="dxa"/>
      </w:tblCellMar>
    </w:tblPr>
  </w:style>
  <w:style w:type="table" w:styleId="1008" w:customStyle="1">
    <w:name w:val="List Table 2 - Accent 3"/>
    <w:uiPriority w:val="99"/>
    <w:qFormat/>
    <w:tblPr>
      <w:tblCellMar>
        <w:left w:w="0" w:type="dxa"/>
        <w:top w:w="0" w:type="dxa"/>
        <w:right w:w="0" w:type="dxa"/>
        <w:bottom w:w="0" w:type="dxa"/>
      </w:tblCellMar>
    </w:tblPr>
  </w:style>
  <w:style w:type="table" w:styleId="1009" w:customStyle="1">
    <w:name w:val="网格表 7 彩色1"/>
    <w:uiPriority w:val="99"/>
    <w:qFormat/>
    <w:tblPr>
      <w:tblCellMar>
        <w:left w:w="0" w:type="dxa"/>
        <w:top w:w="0" w:type="dxa"/>
        <w:right w:w="0" w:type="dxa"/>
        <w:bottom w:w="0" w:type="dxa"/>
      </w:tblCellMar>
    </w:tblPr>
  </w:style>
  <w:style w:type="table" w:styleId="1010" w:customStyle="1">
    <w:name w:val="List Table 4 - Accent 5"/>
    <w:uiPriority w:val="99"/>
    <w:qFormat/>
    <w:tblPr>
      <w:tblCellMar>
        <w:left w:w="0" w:type="dxa"/>
        <w:top w:w="0" w:type="dxa"/>
        <w:right w:w="0" w:type="dxa"/>
        <w:bottom w:w="0" w:type="dxa"/>
      </w:tblCellMar>
    </w:tblPr>
  </w:style>
  <w:style w:type="table" w:styleId="1011" w:customStyle="1">
    <w:name w:val="网格型1"/>
    <w:basedOn w:val="991"/>
    <w:uiPriority w:val="39"/>
    <w:qFormat/>
    <w:tblPr>
      <w:tblCellMar>
        <w:left w:w="0" w:type="dxa"/>
        <w:top w:w="0" w:type="dxa"/>
        <w:right w:w="0" w:type="dxa"/>
        <w:bottom w:w="0" w:type="dxa"/>
      </w:tblCellMar>
    </w:tblPr>
  </w:style>
  <w:style w:type="table" w:styleId="1012" w:customStyle="1">
    <w:name w:val="List Table 1 Light - Accent 4"/>
    <w:uiPriority w:val="99"/>
    <w:qFormat/>
    <w:tblPr>
      <w:tblCellMar>
        <w:left w:w="0" w:type="dxa"/>
        <w:top w:w="0" w:type="dxa"/>
        <w:right w:w="0" w:type="dxa"/>
        <w:bottom w:w="0" w:type="dxa"/>
      </w:tblCellMar>
    </w:tblPr>
  </w:style>
  <w:style w:type="table" w:styleId="1013" w:customStyle="1">
    <w:name w:val="List Table 6 Colorful - Accent 3"/>
    <w:uiPriority w:val="99"/>
    <w:qFormat/>
    <w:tblPr>
      <w:tblCellMar>
        <w:left w:w="0" w:type="dxa"/>
        <w:top w:w="0" w:type="dxa"/>
        <w:right w:w="0" w:type="dxa"/>
        <w:bottom w:w="0" w:type="dxa"/>
      </w:tblCellMar>
    </w:tblPr>
  </w:style>
  <w:style w:type="table" w:styleId="1014" w:customStyle="1">
    <w:name w:val="List Table 3 - Accent 2"/>
    <w:uiPriority w:val="99"/>
    <w:qFormat/>
    <w:tblPr>
      <w:tblCellMar>
        <w:left w:w="0" w:type="dxa"/>
        <w:top w:w="0" w:type="dxa"/>
        <w:right w:w="0" w:type="dxa"/>
        <w:bottom w:w="0" w:type="dxa"/>
      </w:tblCellMar>
    </w:tblPr>
  </w:style>
  <w:style w:type="table" w:styleId="1015" w:customStyle="1">
    <w:name w:val="清单表 1 浅色1"/>
    <w:uiPriority w:val="99"/>
    <w:qFormat/>
    <w:tblPr>
      <w:tblCellMar>
        <w:left w:w="0" w:type="dxa"/>
        <w:top w:w="0" w:type="dxa"/>
        <w:right w:w="0" w:type="dxa"/>
        <w:bottom w:w="0" w:type="dxa"/>
      </w:tblCellMar>
    </w:tblPr>
  </w:style>
  <w:style w:type="table" w:styleId="1016" w:customStyle="1">
    <w:name w:val="清单表 6 彩色1"/>
    <w:uiPriority w:val="99"/>
    <w:qFormat/>
    <w:tblPr>
      <w:tblCellMar>
        <w:left w:w="0" w:type="dxa"/>
        <w:top w:w="0" w:type="dxa"/>
        <w:right w:w="0" w:type="dxa"/>
        <w:bottom w:w="0" w:type="dxa"/>
      </w:tblCellMar>
    </w:tblPr>
  </w:style>
  <w:style w:type="table" w:styleId="1017" w:customStyle="1">
    <w:name w:val="Grid Table 7 Colorful - Accent 2"/>
    <w:uiPriority w:val="99"/>
    <w:qFormat/>
    <w:tblPr>
      <w:tblCellMar>
        <w:left w:w="0" w:type="dxa"/>
        <w:top w:w="0" w:type="dxa"/>
        <w:right w:w="0" w:type="dxa"/>
        <w:bottom w:w="0" w:type="dxa"/>
      </w:tblCellMar>
    </w:tblPr>
  </w:style>
  <w:style w:type="table" w:styleId="1018" w:customStyle="1">
    <w:name w:val="List Table 2 - Accent 4"/>
    <w:uiPriority w:val="99"/>
    <w:qFormat/>
    <w:tblPr>
      <w:tblCellMar>
        <w:left w:w="0" w:type="dxa"/>
        <w:top w:w="0" w:type="dxa"/>
        <w:right w:w="0" w:type="dxa"/>
        <w:bottom w:w="0" w:type="dxa"/>
      </w:tblCellMar>
    </w:tblPr>
  </w:style>
  <w:style w:type="table" w:styleId="1019" w:customStyle="1">
    <w:name w:val="Grid Table 6 Colorful - Accent 1"/>
    <w:uiPriority w:val="99"/>
    <w:qFormat/>
    <w:tblPr>
      <w:tblCellMar>
        <w:left w:w="0" w:type="dxa"/>
        <w:top w:w="0" w:type="dxa"/>
        <w:right w:w="0" w:type="dxa"/>
        <w:bottom w:w="0" w:type="dxa"/>
      </w:tblCellMar>
    </w:tblPr>
  </w:style>
  <w:style w:type="table" w:styleId="1020" w:customStyle="1">
    <w:name w:val="Grid Table 3 - Accent 2"/>
    <w:uiPriority w:val="99"/>
    <w:qFormat/>
    <w:tblPr>
      <w:tblCellMar>
        <w:left w:w="0" w:type="dxa"/>
        <w:top w:w="0" w:type="dxa"/>
        <w:right w:w="0" w:type="dxa"/>
        <w:bottom w:w="0" w:type="dxa"/>
      </w:tblCellMar>
    </w:tblPr>
  </w:style>
  <w:style w:type="table" w:styleId="1021" w:customStyle="1">
    <w:name w:val="Grid Table 5 Dark- Accent 4"/>
    <w:uiPriority w:val="99"/>
    <w:qFormat/>
    <w:tblPr>
      <w:tblCellMar>
        <w:left w:w="0" w:type="dxa"/>
        <w:top w:w="0" w:type="dxa"/>
        <w:right w:w="0" w:type="dxa"/>
        <w:bottom w:w="0" w:type="dxa"/>
      </w:tblCellMar>
    </w:tblPr>
  </w:style>
  <w:style w:type="table" w:styleId="1022" w:customStyle="1">
    <w:name w:val="List Table 7 Colorful - Accent 2"/>
    <w:uiPriority w:val="99"/>
    <w:qFormat/>
    <w:tblPr>
      <w:tblCellMar>
        <w:left w:w="0" w:type="dxa"/>
        <w:top w:w="0" w:type="dxa"/>
        <w:right w:w="0" w:type="dxa"/>
        <w:bottom w:w="0" w:type="dxa"/>
      </w:tblCellMar>
    </w:tblPr>
  </w:style>
  <w:style w:type="table" w:styleId="1023" w:customStyle="1">
    <w:name w:val="Grid Table 6 Colorful - Accent 4"/>
    <w:uiPriority w:val="99"/>
    <w:qFormat/>
    <w:tblPr>
      <w:tblCellMar>
        <w:left w:w="0" w:type="dxa"/>
        <w:top w:w="0" w:type="dxa"/>
        <w:right w:w="0" w:type="dxa"/>
        <w:bottom w:w="0" w:type="dxa"/>
      </w:tblCellMar>
    </w:tblPr>
  </w:style>
  <w:style w:type="table" w:styleId="1024" w:customStyle="1">
    <w:name w:val="清单表 31"/>
    <w:uiPriority w:val="99"/>
    <w:qFormat/>
    <w:tblPr>
      <w:tblCellMar>
        <w:left w:w="0" w:type="dxa"/>
        <w:top w:w="0" w:type="dxa"/>
        <w:right w:w="0" w:type="dxa"/>
        <w:bottom w:w="0" w:type="dxa"/>
      </w:tblCellMar>
    </w:tblPr>
  </w:style>
  <w:style w:type="table" w:styleId="1025" w:customStyle="1">
    <w:name w:val="Grid Table 2 - Accent 5"/>
    <w:uiPriority w:val="99"/>
    <w:qFormat/>
    <w:tblPr>
      <w:tblCellMar>
        <w:left w:w="0" w:type="dxa"/>
        <w:top w:w="0" w:type="dxa"/>
        <w:right w:w="0" w:type="dxa"/>
        <w:bottom w:w="0" w:type="dxa"/>
      </w:tblCellMar>
    </w:tblPr>
  </w:style>
  <w:style w:type="table" w:styleId="1026" w:customStyle="1">
    <w:name w:val="Grid Table 5 Dark - Accent 3"/>
    <w:uiPriority w:val="99"/>
    <w:qFormat/>
    <w:tblPr>
      <w:tblCellMar>
        <w:left w:w="0" w:type="dxa"/>
        <w:top w:w="0" w:type="dxa"/>
        <w:right w:w="0" w:type="dxa"/>
        <w:bottom w:w="0" w:type="dxa"/>
      </w:tblCellMar>
    </w:tblPr>
  </w:style>
  <w:style w:type="table" w:styleId="1027" w:customStyle="1">
    <w:name w:val="网格表 21"/>
    <w:uiPriority w:val="99"/>
    <w:qFormat/>
    <w:tblPr>
      <w:tblCellMar>
        <w:left w:w="0" w:type="dxa"/>
        <w:top w:w="0" w:type="dxa"/>
        <w:right w:w="0" w:type="dxa"/>
        <w:bottom w:w="0" w:type="dxa"/>
      </w:tblCellMar>
    </w:tblPr>
  </w:style>
  <w:style w:type="table" w:styleId="1028" w:customStyle="1">
    <w:name w:val="Lined - Accent 5"/>
    <w:uiPriority w:val="99"/>
    <w:qFormat/>
    <w:rPr>
      <w:color w:val="404040"/>
    </w:rPr>
    <w:tblPr>
      <w:tblCellMar>
        <w:left w:w="0" w:type="dxa"/>
        <w:top w:w="0" w:type="dxa"/>
        <w:right w:w="0" w:type="dxa"/>
        <w:bottom w:w="0" w:type="dxa"/>
      </w:tblCellMar>
    </w:tblPr>
  </w:style>
  <w:style w:type="table" w:styleId="1029" w:customStyle="1">
    <w:name w:val="Lined - Accent 4"/>
    <w:uiPriority w:val="99"/>
    <w:qFormat/>
    <w:rPr>
      <w:color w:val="404040"/>
    </w:rPr>
    <w:tblPr>
      <w:tblCellMar>
        <w:left w:w="0" w:type="dxa"/>
        <w:top w:w="0" w:type="dxa"/>
        <w:right w:w="0" w:type="dxa"/>
        <w:bottom w:w="0" w:type="dxa"/>
      </w:tblCellMar>
    </w:tblPr>
  </w:style>
  <w:style w:type="table" w:styleId="1030" w:customStyle="1">
    <w:name w:val="无格式表格 21"/>
    <w:uiPriority w:val="59"/>
    <w:qFormat/>
    <w:tblPr>
      <w:tblCellMar>
        <w:left w:w="0" w:type="dxa"/>
        <w:top w:w="0" w:type="dxa"/>
        <w:right w:w="0" w:type="dxa"/>
        <w:bottom w:w="0" w:type="dxa"/>
      </w:tblCellMar>
    </w:tblPr>
  </w:style>
  <w:style w:type="table" w:styleId="1031" w:customStyle="1">
    <w:name w:val="Bordered - Accent 6"/>
    <w:uiPriority w:val="99"/>
    <w:qFormat/>
    <w:tblPr>
      <w:tblCellMar>
        <w:left w:w="0" w:type="dxa"/>
        <w:top w:w="0" w:type="dxa"/>
        <w:right w:w="0" w:type="dxa"/>
        <w:bottom w:w="0" w:type="dxa"/>
      </w:tblCellMar>
    </w:tblPr>
  </w:style>
  <w:style w:type="table" w:styleId="1032" w:customStyle="1">
    <w:name w:val="Grid Table 3 - Accent 3"/>
    <w:uiPriority w:val="99"/>
    <w:qFormat/>
    <w:tblPr>
      <w:tblCellMar>
        <w:left w:w="0" w:type="dxa"/>
        <w:top w:w="0" w:type="dxa"/>
        <w:right w:w="0" w:type="dxa"/>
        <w:bottom w:w="0" w:type="dxa"/>
      </w:tblCellMar>
    </w:tblPr>
  </w:style>
  <w:style w:type="table" w:styleId="1033" w:customStyle="1">
    <w:name w:val="Table Grid Light"/>
    <w:uiPriority w:val="59"/>
    <w:qFormat/>
    <w:tblPr>
      <w:tblCellMar>
        <w:left w:w="0" w:type="dxa"/>
        <w:top w:w="0" w:type="dxa"/>
        <w:right w:w="0" w:type="dxa"/>
        <w:bottom w:w="0" w:type="dxa"/>
      </w:tblCellMar>
    </w:tblPr>
  </w:style>
  <w:style w:type="table" w:styleId="1034" w:customStyle="1">
    <w:name w:val="List Table 3 - Accent 4"/>
    <w:uiPriority w:val="99"/>
    <w:qFormat/>
    <w:tblPr>
      <w:tblCellMar>
        <w:left w:w="0" w:type="dxa"/>
        <w:top w:w="0" w:type="dxa"/>
        <w:right w:w="0" w:type="dxa"/>
        <w:bottom w:w="0" w:type="dxa"/>
      </w:tblCellMar>
    </w:tblPr>
  </w:style>
  <w:style w:type="table" w:styleId="1035" w:customStyle="1">
    <w:name w:val="List Table 7 Colorful - Accent 1"/>
    <w:uiPriority w:val="99"/>
    <w:qFormat/>
    <w:tblPr>
      <w:tblCellMar>
        <w:left w:w="0" w:type="dxa"/>
        <w:top w:w="0" w:type="dxa"/>
        <w:right w:w="0" w:type="dxa"/>
        <w:bottom w:w="0" w:type="dxa"/>
      </w:tblCellMar>
    </w:tblPr>
  </w:style>
  <w:style w:type="table" w:styleId="1036" w:customStyle="1">
    <w:name w:val="Grid Table 1 Light - Accent 1"/>
    <w:uiPriority w:val="99"/>
    <w:qFormat/>
    <w:tblPr>
      <w:tblCellMar>
        <w:left w:w="0" w:type="dxa"/>
        <w:top w:w="0" w:type="dxa"/>
        <w:right w:w="0" w:type="dxa"/>
        <w:bottom w:w="0" w:type="dxa"/>
      </w:tblCellMar>
    </w:tblPr>
  </w:style>
  <w:style w:type="table" w:styleId="1037" w:customStyle="1">
    <w:name w:val="Lined - Accent 1"/>
    <w:uiPriority w:val="99"/>
    <w:qFormat/>
    <w:rPr>
      <w:color w:val="404040"/>
    </w:rPr>
    <w:tblPr>
      <w:tblCellMar>
        <w:left w:w="0" w:type="dxa"/>
        <w:top w:w="0" w:type="dxa"/>
        <w:right w:w="0" w:type="dxa"/>
        <w:bottom w:w="0" w:type="dxa"/>
      </w:tblCellMar>
    </w:tblPr>
  </w:style>
  <w:style w:type="table" w:styleId="1038" w:customStyle="1">
    <w:name w:val="Grid Table 3 - Accent 6"/>
    <w:uiPriority w:val="99"/>
    <w:qFormat/>
    <w:tblPr>
      <w:tblCellMar>
        <w:left w:w="0" w:type="dxa"/>
        <w:top w:w="0" w:type="dxa"/>
        <w:right w:w="0" w:type="dxa"/>
        <w:bottom w:w="0" w:type="dxa"/>
      </w:tblCellMar>
    </w:tblPr>
  </w:style>
  <w:style w:type="table" w:styleId="1039" w:customStyle="1">
    <w:name w:val="无格式表格 31"/>
    <w:uiPriority w:val="99"/>
    <w:qFormat/>
    <w:tblPr>
      <w:tblCellMar>
        <w:left w:w="0" w:type="dxa"/>
        <w:top w:w="0" w:type="dxa"/>
        <w:right w:w="0" w:type="dxa"/>
        <w:bottom w:w="0" w:type="dxa"/>
      </w:tblCellMar>
    </w:tblPr>
  </w:style>
  <w:style w:type="table" w:styleId="1040" w:customStyle="1">
    <w:name w:val="Grid Table 4 - Accent 4"/>
    <w:uiPriority w:val="59"/>
    <w:qFormat/>
    <w:tblPr>
      <w:tblCellMar>
        <w:left w:w="0" w:type="dxa"/>
        <w:top w:w="0" w:type="dxa"/>
        <w:right w:w="0" w:type="dxa"/>
        <w:bottom w:w="0" w:type="dxa"/>
      </w:tblCellMar>
    </w:tblPr>
  </w:style>
  <w:style w:type="table" w:styleId="1041" w:customStyle="1">
    <w:name w:val="Grid Table 3 - Accent 5"/>
    <w:uiPriority w:val="99"/>
    <w:qFormat/>
    <w:tblPr>
      <w:tblCellMar>
        <w:left w:w="0" w:type="dxa"/>
        <w:top w:w="0" w:type="dxa"/>
        <w:right w:w="0" w:type="dxa"/>
        <w:bottom w:w="0" w:type="dxa"/>
      </w:tblCellMar>
    </w:tblPr>
  </w:style>
  <w:style w:type="table" w:styleId="1042" w:customStyle="1">
    <w:name w:val="无格式表格 11"/>
    <w:uiPriority w:val="59"/>
    <w:qFormat/>
    <w:tblPr>
      <w:tblCellMar>
        <w:left w:w="0" w:type="dxa"/>
        <w:top w:w="0" w:type="dxa"/>
        <w:right w:w="0" w:type="dxa"/>
        <w:bottom w:w="0" w:type="dxa"/>
      </w:tblCellMar>
    </w:tblPr>
  </w:style>
  <w:style w:type="table" w:styleId="1043" w:customStyle="1">
    <w:name w:val="Bordered - Accent 5"/>
    <w:uiPriority w:val="99"/>
    <w:qFormat/>
    <w:tblPr>
      <w:tblCellMar>
        <w:left w:w="0" w:type="dxa"/>
        <w:top w:w="0" w:type="dxa"/>
        <w:right w:w="0" w:type="dxa"/>
        <w:bottom w:w="0" w:type="dxa"/>
      </w:tblCellMar>
    </w:tblPr>
  </w:style>
  <w:style w:type="table" w:styleId="1044" w:customStyle="1">
    <w:name w:val="网格表 1 浅色1"/>
    <w:uiPriority w:val="99"/>
    <w:qFormat/>
    <w:tblPr>
      <w:tblCellMar>
        <w:left w:w="0" w:type="dxa"/>
        <w:top w:w="0" w:type="dxa"/>
        <w:right w:w="0" w:type="dxa"/>
        <w:bottom w:w="0" w:type="dxa"/>
      </w:tblCellMar>
    </w:tblPr>
  </w:style>
  <w:style w:type="table" w:styleId="1045" w:customStyle="1">
    <w:name w:val="Grid Table 6 Colorful - Accent 2"/>
    <w:uiPriority w:val="99"/>
    <w:qFormat/>
    <w:tblPr>
      <w:tblCellMar>
        <w:left w:w="0" w:type="dxa"/>
        <w:top w:w="0" w:type="dxa"/>
        <w:right w:w="0" w:type="dxa"/>
        <w:bottom w:w="0" w:type="dxa"/>
      </w:tblCellMar>
    </w:tblPr>
  </w:style>
  <w:style w:type="table" w:styleId="1046" w:customStyle="1">
    <w:name w:val="Grid Table 1 Light - Accent 4"/>
    <w:uiPriority w:val="99"/>
    <w:qFormat/>
    <w:tblPr>
      <w:tblCellMar>
        <w:left w:w="0" w:type="dxa"/>
        <w:top w:w="0" w:type="dxa"/>
        <w:right w:w="0" w:type="dxa"/>
        <w:bottom w:w="0" w:type="dxa"/>
      </w:tblCellMar>
    </w:tblPr>
  </w:style>
  <w:style w:type="table" w:styleId="1047" w:customStyle="1">
    <w:name w:val="无格式表格 41"/>
    <w:uiPriority w:val="99"/>
    <w:qFormat/>
    <w:tblPr>
      <w:tblCellMar>
        <w:left w:w="0" w:type="dxa"/>
        <w:top w:w="0" w:type="dxa"/>
        <w:right w:w="0" w:type="dxa"/>
        <w:bottom w:w="0" w:type="dxa"/>
      </w:tblCellMar>
    </w:tblPr>
  </w:style>
  <w:style w:type="table" w:styleId="1048" w:customStyle="1">
    <w:name w:val="Grid Table 4 - Accent 6"/>
    <w:uiPriority w:val="59"/>
    <w:qFormat/>
    <w:tblPr>
      <w:tblCellMar>
        <w:left w:w="0" w:type="dxa"/>
        <w:top w:w="0" w:type="dxa"/>
        <w:right w:w="0" w:type="dxa"/>
        <w:bottom w:w="0" w:type="dxa"/>
      </w:tblCellMar>
    </w:tblPr>
  </w:style>
  <w:style w:type="table" w:styleId="1049" w:customStyle="1">
    <w:name w:val="Grid Table 1 Light - Accent 3"/>
    <w:uiPriority w:val="99"/>
    <w:qFormat/>
    <w:tblPr>
      <w:tblCellMar>
        <w:left w:w="0" w:type="dxa"/>
        <w:top w:w="0" w:type="dxa"/>
        <w:right w:w="0" w:type="dxa"/>
        <w:bottom w:w="0" w:type="dxa"/>
      </w:tblCellMar>
    </w:tblPr>
  </w:style>
  <w:style w:type="table" w:styleId="1050" w:customStyle="1">
    <w:name w:val="Grid Table 1 Light - Accent 2"/>
    <w:uiPriority w:val="99"/>
    <w:qFormat/>
    <w:tblPr>
      <w:tblCellMar>
        <w:left w:w="0" w:type="dxa"/>
        <w:top w:w="0" w:type="dxa"/>
        <w:right w:w="0" w:type="dxa"/>
        <w:bottom w:w="0" w:type="dxa"/>
      </w:tblCellMar>
    </w:tblPr>
  </w:style>
  <w:style w:type="table" w:styleId="1051" w:customStyle="1">
    <w:name w:val="Grid Table 5 Dark- Accent 1"/>
    <w:uiPriority w:val="99"/>
    <w:qFormat/>
    <w:tblPr>
      <w:tblCellMar>
        <w:left w:w="0" w:type="dxa"/>
        <w:top w:w="0" w:type="dxa"/>
        <w:right w:w="0" w:type="dxa"/>
        <w:bottom w:w="0" w:type="dxa"/>
      </w:tblCellMar>
    </w:tblPr>
  </w:style>
  <w:style w:type="table" w:styleId="1052" w:customStyle="1">
    <w:name w:val="Grid Table 3 - Accent 1"/>
    <w:uiPriority w:val="99"/>
    <w:qFormat/>
    <w:tblPr>
      <w:tblCellMar>
        <w:left w:w="0" w:type="dxa"/>
        <w:top w:w="0" w:type="dxa"/>
        <w:right w:w="0" w:type="dxa"/>
        <w:bottom w:w="0" w:type="dxa"/>
      </w:tblCellMar>
    </w:tblPr>
  </w:style>
  <w:style w:type="table" w:styleId="1053" w:customStyle="1">
    <w:name w:val="无格式表格 51"/>
    <w:uiPriority w:val="99"/>
    <w:qFormat/>
    <w:tblPr>
      <w:tblCellMar>
        <w:left w:w="0" w:type="dxa"/>
        <w:top w:w="0" w:type="dxa"/>
        <w:right w:w="0" w:type="dxa"/>
        <w:bottom w:w="0" w:type="dxa"/>
      </w:tblCellMar>
    </w:tblPr>
  </w:style>
  <w:style w:type="table" w:styleId="1054" w:customStyle="1">
    <w:name w:val="Grid Table 4 - Accent 5"/>
    <w:uiPriority w:val="59"/>
    <w:qFormat/>
    <w:tblPr>
      <w:tblCellMar>
        <w:left w:w="0" w:type="dxa"/>
        <w:top w:w="0" w:type="dxa"/>
        <w:right w:w="0" w:type="dxa"/>
        <w:bottom w:w="0" w:type="dxa"/>
      </w:tblCellMar>
    </w:tblPr>
  </w:style>
  <w:style w:type="table" w:styleId="1055" w:customStyle="1">
    <w:name w:val="Grid Table 1 Light - Accent 5"/>
    <w:uiPriority w:val="99"/>
    <w:qFormat/>
    <w:tblPr>
      <w:tblCellMar>
        <w:left w:w="0" w:type="dxa"/>
        <w:top w:w="0" w:type="dxa"/>
        <w:right w:w="0" w:type="dxa"/>
        <w:bottom w:w="0" w:type="dxa"/>
      </w:tblCellMar>
    </w:tblPr>
  </w:style>
  <w:style w:type="table" w:styleId="1056" w:customStyle="1">
    <w:name w:val="List Table 7 Colorful - Accent 5"/>
    <w:uiPriority w:val="99"/>
    <w:qFormat/>
    <w:tblPr>
      <w:tblCellMar>
        <w:left w:w="0" w:type="dxa"/>
        <w:top w:w="0" w:type="dxa"/>
        <w:right w:w="0" w:type="dxa"/>
        <w:bottom w:w="0" w:type="dxa"/>
      </w:tblCellMar>
    </w:tblPr>
  </w:style>
  <w:style w:type="table" w:styleId="1057" w:customStyle="1">
    <w:name w:val="Grid Table 1 Light - Accent 6"/>
    <w:uiPriority w:val="99"/>
    <w:qFormat/>
    <w:tblPr>
      <w:tblCellMar>
        <w:left w:w="0" w:type="dxa"/>
        <w:top w:w="0" w:type="dxa"/>
        <w:right w:w="0" w:type="dxa"/>
        <w:bottom w:w="0" w:type="dxa"/>
      </w:tblCellMar>
    </w:tblPr>
  </w:style>
  <w:style w:type="table" w:styleId="1058" w:customStyle="1">
    <w:name w:val="Bordered &amp; Lined - Accent 5"/>
    <w:uiPriority w:val="99"/>
    <w:qFormat/>
    <w:rPr>
      <w:color w:val="404040"/>
    </w:rPr>
    <w:tblPr>
      <w:tblCellMar>
        <w:left w:w="0" w:type="dxa"/>
        <w:top w:w="0" w:type="dxa"/>
        <w:right w:w="0" w:type="dxa"/>
        <w:bottom w:w="0" w:type="dxa"/>
      </w:tblCellMar>
    </w:tblPr>
  </w:style>
  <w:style w:type="table" w:styleId="1059" w:customStyle="1">
    <w:name w:val="Lined - Accent"/>
    <w:uiPriority w:val="99"/>
    <w:qFormat/>
    <w:rPr>
      <w:color w:val="404040"/>
    </w:rPr>
    <w:tblPr>
      <w:tblCellMar>
        <w:left w:w="0" w:type="dxa"/>
        <w:top w:w="0" w:type="dxa"/>
        <w:right w:w="0" w:type="dxa"/>
        <w:bottom w:w="0" w:type="dxa"/>
      </w:tblCellMar>
    </w:tblPr>
  </w:style>
  <w:style w:type="table" w:styleId="1060" w:customStyle="1">
    <w:name w:val="Bordered &amp; Lined - Accent 4"/>
    <w:uiPriority w:val="99"/>
    <w:qFormat/>
    <w:rPr>
      <w:color w:val="404040"/>
    </w:rPr>
    <w:tblPr>
      <w:tblCellMar>
        <w:left w:w="0" w:type="dxa"/>
        <w:top w:w="0" w:type="dxa"/>
        <w:right w:w="0" w:type="dxa"/>
        <w:bottom w:w="0" w:type="dxa"/>
      </w:tblCellMar>
    </w:tblPr>
  </w:style>
  <w:style w:type="table" w:styleId="1061" w:customStyle="1">
    <w:name w:val="Grid Table 2 - Accent 1"/>
    <w:uiPriority w:val="99"/>
    <w:qFormat/>
    <w:tblPr>
      <w:tblCellMar>
        <w:left w:w="0" w:type="dxa"/>
        <w:top w:w="0" w:type="dxa"/>
        <w:right w:w="0" w:type="dxa"/>
        <w:bottom w:w="0" w:type="dxa"/>
      </w:tblCellMar>
    </w:tblPr>
  </w:style>
  <w:style w:type="table" w:styleId="1062" w:customStyle="1">
    <w:name w:val="List Table 5 Dark - Accent 5"/>
    <w:uiPriority w:val="99"/>
    <w:qFormat/>
    <w:tblPr>
      <w:tblCellMar>
        <w:left w:w="0" w:type="dxa"/>
        <w:top w:w="0" w:type="dxa"/>
        <w:right w:w="0" w:type="dxa"/>
        <w:bottom w:w="0" w:type="dxa"/>
      </w:tblCellMar>
    </w:tblPr>
  </w:style>
  <w:style w:type="table" w:styleId="1063" w:customStyle="1">
    <w:name w:val="List Table 7 Colorful - Accent 3"/>
    <w:uiPriority w:val="99"/>
    <w:qFormat/>
    <w:tblPr>
      <w:tblCellMar>
        <w:left w:w="0" w:type="dxa"/>
        <w:top w:w="0" w:type="dxa"/>
        <w:right w:w="0" w:type="dxa"/>
        <w:bottom w:w="0" w:type="dxa"/>
      </w:tblCellMar>
    </w:tblPr>
  </w:style>
  <w:style w:type="table" w:styleId="1064" w:customStyle="1">
    <w:name w:val="Bordered &amp; Lined - Accent 2"/>
    <w:uiPriority w:val="99"/>
    <w:qFormat/>
    <w:rPr>
      <w:color w:val="404040"/>
    </w:rPr>
    <w:tblPr>
      <w:tblCellMar>
        <w:left w:w="0" w:type="dxa"/>
        <w:top w:w="0" w:type="dxa"/>
        <w:right w:w="0" w:type="dxa"/>
        <w:bottom w:w="0" w:type="dxa"/>
      </w:tblCellMar>
    </w:tblPr>
  </w:style>
  <w:style w:type="table" w:styleId="1065" w:customStyle="1">
    <w:name w:val="Bordered &amp; Lined - Accent 6"/>
    <w:uiPriority w:val="99"/>
    <w:qFormat/>
    <w:rPr>
      <w:color w:val="404040"/>
    </w:rPr>
    <w:tblPr>
      <w:tblCellMar>
        <w:left w:w="0" w:type="dxa"/>
        <w:top w:w="0" w:type="dxa"/>
        <w:right w:w="0" w:type="dxa"/>
        <w:bottom w:w="0" w:type="dxa"/>
      </w:tblCellMar>
    </w:tblPr>
  </w:style>
  <w:style w:type="table" w:styleId="1066" w:customStyle="1">
    <w:name w:val="Grid Table 2 - Accent 2"/>
    <w:uiPriority w:val="99"/>
    <w:qFormat/>
    <w:tblPr>
      <w:tblCellMar>
        <w:left w:w="0" w:type="dxa"/>
        <w:top w:w="0" w:type="dxa"/>
        <w:right w:w="0" w:type="dxa"/>
        <w:bottom w:w="0" w:type="dxa"/>
      </w:tblCellMar>
    </w:tblPr>
  </w:style>
  <w:style w:type="table" w:styleId="1067" w:customStyle="1">
    <w:name w:val="Grid Table 6 Colorful - Accent 3"/>
    <w:uiPriority w:val="99"/>
    <w:qFormat/>
    <w:tblPr>
      <w:tblCellMar>
        <w:left w:w="0" w:type="dxa"/>
        <w:top w:w="0" w:type="dxa"/>
        <w:right w:w="0" w:type="dxa"/>
        <w:bottom w:w="0" w:type="dxa"/>
      </w:tblCellMar>
    </w:tblPr>
  </w:style>
  <w:style w:type="table" w:styleId="1068" w:customStyle="1">
    <w:name w:val="Grid Table 5 Dark - Accent 6"/>
    <w:uiPriority w:val="99"/>
    <w:qFormat/>
    <w:tblPr>
      <w:tblCellMar>
        <w:left w:w="0" w:type="dxa"/>
        <w:top w:w="0" w:type="dxa"/>
        <w:right w:w="0" w:type="dxa"/>
        <w:bottom w:w="0" w:type="dxa"/>
      </w:tblCellMar>
    </w:tblPr>
  </w:style>
  <w:style w:type="table" w:styleId="1069" w:customStyle="1">
    <w:name w:val="Grid Table 2 - Accent 3"/>
    <w:uiPriority w:val="99"/>
    <w:qFormat/>
    <w:tblPr>
      <w:tblCellMar>
        <w:left w:w="0" w:type="dxa"/>
        <w:top w:w="0" w:type="dxa"/>
        <w:right w:w="0" w:type="dxa"/>
        <w:bottom w:w="0" w:type="dxa"/>
      </w:tblCellMar>
    </w:tblPr>
  </w:style>
  <w:style w:type="table" w:styleId="1070" w:customStyle="1">
    <w:name w:val="Grid Table 5 Dark - Accent 2"/>
    <w:uiPriority w:val="99"/>
    <w:qFormat/>
    <w:tblPr>
      <w:tblCellMar>
        <w:left w:w="0" w:type="dxa"/>
        <w:top w:w="0" w:type="dxa"/>
        <w:right w:w="0" w:type="dxa"/>
        <w:bottom w:w="0" w:type="dxa"/>
      </w:tblCellMar>
    </w:tblPr>
  </w:style>
  <w:style w:type="table" w:styleId="1071" w:customStyle="1">
    <w:name w:val="Bordered &amp; Lined - Accent 3"/>
    <w:uiPriority w:val="99"/>
    <w:qFormat/>
    <w:rPr>
      <w:color w:val="404040"/>
    </w:rPr>
    <w:tblPr>
      <w:tblCellMar>
        <w:left w:w="0" w:type="dxa"/>
        <w:top w:w="0" w:type="dxa"/>
        <w:right w:w="0" w:type="dxa"/>
        <w:bottom w:w="0" w:type="dxa"/>
      </w:tblCellMar>
    </w:tblPr>
  </w:style>
  <w:style w:type="table" w:styleId="1072" w:customStyle="1">
    <w:name w:val="Grid Table 5 Dark - Accent 5"/>
    <w:uiPriority w:val="99"/>
    <w:qFormat/>
    <w:tblPr>
      <w:tblCellMar>
        <w:left w:w="0" w:type="dxa"/>
        <w:top w:w="0" w:type="dxa"/>
        <w:right w:w="0" w:type="dxa"/>
        <w:bottom w:w="0" w:type="dxa"/>
      </w:tblCellMar>
    </w:tblPr>
  </w:style>
  <w:style w:type="table" w:styleId="1073" w:customStyle="1">
    <w:name w:val="Grid Table 2 - Accent 6"/>
    <w:uiPriority w:val="99"/>
    <w:qFormat/>
    <w:tblPr>
      <w:tblCellMar>
        <w:left w:w="0" w:type="dxa"/>
        <w:top w:w="0" w:type="dxa"/>
        <w:right w:w="0" w:type="dxa"/>
        <w:bottom w:w="0" w:type="dxa"/>
      </w:tblCellMar>
    </w:tblPr>
  </w:style>
  <w:style w:type="table" w:styleId="1074" w:customStyle="1">
    <w:name w:val="Bordered &amp; Lined - Accent 1"/>
    <w:uiPriority w:val="99"/>
    <w:qFormat/>
    <w:rPr>
      <w:color w:val="404040"/>
    </w:rPr>
    <w:tblPr>
      <w:tblCellMar>
        <w:left w:w="0" w:type="dxa"/>
        <w:top w:w="0" w:type="dxa"/>
        <w:right w:w="0" w:type="dxa"/>
        <w:bottom w:w="0" w:type="dxa"/>
      </w:tblCellMar>
    </w:tblPr>
  </w:style>
  <w:style w:type="table" w:styleId="1075" w:customStyle="1">
    <w:name w:val="Bordered - Accent 3"/>
    <w:uiPriority w:val="99"/>
    <w:qFormat/>
    <w:tblPr>
      <w:tblCellMar>
        <w:left w:w="0" w:type="dxa"/>
        <w:top w:w="0" w:type="dxa"/>
        <w:right w:w="0" w:type="dxa"/>
        <w:bottom w:w="0" w:type="dxa"/>
      </w:tblCellMar>
    </w:tblPr>
  </w:style>
  <w:style w:type="table" w:styleId="1076" w:customStyle="1">
    <w:name w:val="网格表 41"/>
    <w:uiPriority w:val="59"/>
    <w:qFormat/>
    <w:tblPr>
      <w:tblCellMar>
        <w:left w:w="0" w:type="dxa"/>
        <w:top w:w="0" w:type="dxa"/>
        <w:right w:w="0" w:type="dxa"/>
        <w:bottom w:w="0" w:type="dxa"/>
      </w:tblCellMar>
    </w:tblPr>
  </w:style>
  <w:style w:type="table" w:styleId="1077" w:customStyle="1">
    <w:name w:val="网格表 31"/>
    <w:uiPriority w:val="99"/>
    <w:qFormat/>
    <w:tblPr>
      <w:tblCellMar>
        <w:left w:w="0" w:type="dxa"/>
        <w:top w:w="0" w:type="dxa"/>
        <w:right w:w="0" w:type="dxa"/>
        <w:bottom w:w="0" w:type="dxa"/>
      </w:tblCellMar>
    </w:tblPr>
  </w:style>
  <w:style w:type="table" w:styleId="1078" w:customStyle="1">
    <w:name w:val="Bordered &amp; Lined - Accent"/>
    <w:uiPriority w:val="99"/>
    <w:qFormat/>
    <w:rPr>
      <w:color w:val="404040"/>
    </w:rPr>
    <w:tblPr>
      <w:tblCellMar>
        <w:left w:w="0" w:type="dxa"/>
        <w:top w:w="0" w:type="dxa"/>
        <w:right w:w="0" w:type="dxa"/>
        <w:bottom w:w="0" w:type="dxa"/>
      </w:tblCellMar>
    </w:tblPr>
  </w:style>
  <w:style w:type="table" w:styleId="1079" w:customStyle="1">
    <w:name w:val="清单表 7 彩色1"/>
    <w:uiPriority w:val="99"/>
    <w:qFormat/>
    <w:tblPr>
      <w:tblCellMar>
        <w:left w:w="0" w:type="dxa"/>
        <w:top w:w="0" w:type="dxa"/>
        <w:right w:w="0" w:type="dxa"/>
        <w:bottom w:w="0" w:type="dxa"/>
      </w:tblCellMar>
    </w:tblPr>
  </w:style>
  <w:style w:type="table" w:styleId="1080" w:customStyle="1">
    <w:name w:val="网格表 6 彩色1"/>
    <w:uiPriority w:val="99"/>
    <w:qFormat/>
    <w:tblPr>
      <w:tblCellMar>
        <w:left w:w="0" w:type="dxa"/>
        <w:top w:w="0" w:type="dxa"/>
        <w:right w:w="0" w:type="dxa"/>
        <w:bottom w:w="0" w:type="dxa"/>
      </w:tblCellMar>
    </w:tblPr>
  </w:style>
  <w:style w:type="table" w:styleId="1081" w:customStyle="1">
    <w:name w:val="List Table 7 Colorful - Accent 6"/>
    <w:uiPriority w:val="99"/>
    <w:qFormat/>
    <w:tblPr>
      <w:tblCellMar>
        <w:left w:w="0" w:type="dxa"/>
        <w:top w:w="0" w:type="dxa"/>
        <w:right w:w="0" w:type="dxa"/>
        <w:bottom w:w="0" w:type="dxa"/>
      </w:tblCellMar>
    </w:tblPr>
  </w:style>
  <w:style w:type="table" w:styleId="1082" w:customStyle="1">
    <w:name w:val="Grid Table 4 - Accent 1"/>
    <w:uiPriority w:val="59"/>
    <w:qFormat/>
    <w:tblPr>
      <w:tblCellMar>
        <w:left w:w="0" w:type="dxa"/>
        <w:top w:w="0" w:type="dxa"/>
        <w:right w:w="0" w:type="dxa"/>
        <w:bottom w:w="0" w:type="dxa"/>
      </w:tblCellMar>
    </w:tblPr>
  </w:style>
  <w:style w:type="table" w:styleId="1083" w:customStyle="1">
    <w:name w:val="Bordered - Accent 1"/>
    <w:uiPriority w:val="99"/>
    <w:qFormat/>
    <w:tblPr>
      <w:tblCellMar>
        <w:left w:w="0" w:type="dxa"/>
        <w:top w:w="0" w:type="dxa"/>
        <w:right w:w="0" w:type="dxa"/>
        <w:bottom w:w="0" w:type="dxa"/>
      </w:tblCellMar>
    </w:tblPr>
  </w:style>
  <w:style w:type="table" w:styleId="1084" w:customStyle="1">
    <w:name w:val="网格表 5 深色1"/>
    <w:uiPriority w:val="99"/>
    <w:qFormat/>
    <w:tblPr>
      <w:tblCellMar>
        <w:left w:w="0" w:type="dxa"/>
        <w:top w:w="0" w:type="dxa"/>
        <w:right w:w="0" w:type="dxa"/>
        <w:bottom w:w="0" w:type="dxa"/>
      </w:tblCellMar>
    </w:tblPr>
  </w:style>
  <w:style w:type="table" w:styleId="1085" w:customStyle="1">
    <w:name w:val="Bordered - Accent 4"/>
    <w:uiPriority w:val="99"/>
    <w:qFormat/>
    <w:tblPr>
      <w:tblCellMar>
        <w:left w:w="0" w:type="dxa"/>
        <w:top w:w="0" w:type="dxa"/>
        <w:right w:w="0" w:type="dxa"/>
        <w:bottom w:w="0" w:type="dxa"/>
      </w:tblCellMar>
    </w:tblPr>
  </w:style>
  <w:style w:type="table" w:styleId="1086" w:customStyle="1">
    <w:name w:val="Grid Table 4 - Accent 3"/>
    <w:uiPriority w:val="59"/>
    <w:qFormat/>
    <w:tblPr>
      <w:tblCellMar>
        <w:left w:w="0" w:type="dxa"/>
        <w:top w:w="0" w:type="dxa"/>
        <w:right w:w="0" w:type="dxa"/>
        <w:bottom w:w="0" w:type="dxa"/>
      </w:tblCellMar>
    </w:tblPr>
  </w:style>
  <w:style w:type="table" w:styleId="1087" w:customStyle="1">
    <w:name w:val="Grid Table 3 - Accent 4"/>
    <w:uiPriority w:val="99"/>
    <w:qFormat/>
    <w:tblPr>
      <w:tblCellMar>
        <w:left w:w="0" w:type="dxa"/>
        <w:top w:w="0" w:type="dxa"/>
        <w:right w:w="0" w:type="dxa"/>
        <w:bottom w:w="0" w:type="dxa"/>
      </w:tblCellMar>
    </w:tblPr>
  </w:style>
  <w:style w:type="table" w:styleId="1088" w:customStyle="1">
    <w:name w:val="List Table 4 - Accent 6"/>
    <w:uiPriority w:val="99"/>
    <w:qFormat/>
    <w:tblPr>
      <w:tblCellMar>
        <w:left w:w="0" w:type="dxa"/>
        <w:top w:w="0" w:type="dxa"/>
        <w:right w:w="0" w:type="dxa"/>
        <w:bottom w:w="0" w:type="dxa"/>
      </w:tblCellMar>
    </w:tblPr>
  </w:style>
  <w:style w:type="table" w:styleId="1089" w:customStyle="1">
    <w:name w:val="Lined - Accent 2"/>
    <w:uiPriority w:val="99"/>
    <w:qFormat/>
    <w:rPr>
      <w:color w:val="404040"/>
    </w:rPr>
    <w:tblPr>
      <w:tblCellMar>
        <w:left w:w="0" w:type="dxa"/>
        <w:top w:w="0" w:type="dxa"/>
        <w:right w:w="0" w:type="dxa"/>
        <w:bottom w:w="0" w:type="dxa"/>
      </w:tblCellMar>
    </w:tblPr>
  </w:style>
  <w:style w:type="table" w:styleId="1090" w:customStyle="1">
    <w:name w:val="Grid Table 6 Colorful - Accent 5"/>
    <w:uiPriority w:val="99"/>
    <w:qFormat/>
    <w:tblPr>
      <w:tblCellMar>
        <w:left w:w="0" w:type="dxa"/>
        <w:top w:w="0" w:type="dxa"/>
        <w:right w:w="0" w:type="dxa"/>
        <w:bottom w:w="0" w:type="dxa"/>
      </w:tblCellMar>
    </w:tblPr>
  </w:style>
  <w:style w:type="table" w:styleId="1091" w:customStyle="1">
    <w:name w:val="List Table 5 Dark - Accent 4"/>
    <w:uiPriority w:val="99"/>
    <w:qFormat/>
    <w:tblPr>
      <w:tblCellMar>
        <w:left w:w="0" w:type="dxa"/>
        <w:top w:w="0" w:type="dxa"/>
        <w:right w:w="0" w:type="dxa"/>
        <w:bottom w:w="0" w:type="dxa"/>
      </w:tblCellMar>
    </w:tblPr>
  </w:style>
  <w:style w:type="table" w:styleId="1092" w:customStyle="1">
    <w:name w:val="Grid Table 6 Colorful - Accent 6"/>
    <w:uiPriority w:val="99"/>
    <w:qFormat/>
    <w:tblPr>
      <w:tblCellMar>
        <w:left w:w="0" w:type="dxa"/>
        <w:top w:w="0" w:type="dxa"/>
        <w:right w:w="0" w:type="dxa"/>
        <w:bottom w:w="0" w:type="dxa"/>
      </w:tblCellMar>
    </w:tblPr>
  </w:style>
  <w:style w:type="table" w:styleId="1093" w:customStyle="1">
    <w:name w:val="Bordered"/>
    <w:uiPriority w:val="99"/>
    <w:qFormat/>
    <w:tblPr>
      <w:tblCellMar>
        <w:left w:w="0" w:type="dxa"/>
        <w:top w:w="0" w:type="dxa"/>
        <w:right w:w="0" w:type="dxa"/>
        <w:bottom w:w="0" w:type="dxa"/>
      </w:tblCellMar>
    </w:tblPr>
  </w:style>
  <w:style w:type="table" w:styleId="1094" w:customStyle="1">
    <w:name w:val="Grid Table 7 Colorful - Accent 1"/>
    <w:uiPriority w:val="99"/>
    <w:qFormat/>
    <w:tblPr>
      <w:tblCellMar>
        <w:left w:w="0" w:type="dxa"/>
        <w:top w:w="0" w:type="dxa"/>
        <w:right w:w="0" w:type="dxa"/>
        <w:bottom w:w="0" w:type="dxa"/>
      </w:tblCellMar>
    </w:tblPr>
  </w:style>
  <w:style w:type="table" w:styleId="1095" w:customStyle="1">
    <w:name w:val="Bordered - Accent 2"/>
    <w:uiPriority w:val="99"/>
    <w:qFormat/>
    <w:tblPr>
      <w:tblCellMar>
        <w:left w:w="0" w:type="dxa"/>
        <w:top w:w="0" w:type="dxa"/>
        <w:right w:w="0" w:type="dxa"/>
        <w:bottom w:w="0" w:type="dxa"/>
      </w:tblCellMar>
    </w:tblPr>
  </w:style>
  <w:style w:type="table" w:styleId="1096" w:customStyle="1">
    <w:name w:val="List Table 6 Colorful - Accent 6"/>
    <w:uiPriority w:val="99"/>
    <w:qFormat/>
    <w:tblPr>
      <w:tblCellMar>
        <w:left w:w="0" w:type="dxa"/>
        <w:top w:w="0" w:type="dxa"/>
        <w:right w:w="0" w:type="dxa"/>
        <w:bottom w:w="0" w:type="dxa"/>
      </w:tblCellMar>
    </w:tblPr>
  </w:style>
  <w:style w:type="table" w:styleId="1097" w:customStyle="1">
    <w:name w:val="清单表 41"/>
    <w:uiPriority w:val="99"/>
    <w:qFormat/>
    <w:tblPr>
      <w:tblCellMar>
        <w:left w:w="0" w:type="dxa"/>
        <w:top w:w="0" w:type="dxa"/>
        <w:right w:w="0" w:type="dxa"/>
        <w:bottom w:w="0" w:type="dxa"/>
      </w:tblCellMar>
    </w:tblPr>
  </w:style>
  <w:style w:type="table" w:styleId="1098" w:customStyle="1">
    <w:name w:val="List Table 6 Colorful - Accent 5"/>
    <w:uiPriority w:val="99"/>
    <w:qFormat/>
    <w:tblPr>
      <w:tblCellMar>
        <w:left w:w="0" w:type="dxa"/>
        <w:top w:w="0" w:type="dxa"/>
        <w:right w:w="0" w:type="dxa"/>
        <w:bottom w:w="0" w:type="dxa"/>
      </w:tblCellMar>
    </w:tblPr>
  </w:style>
  <w:style w:type="table" w:styleId="1099" w:customStyle="1">
    <w:name w:val="List Table 2 - Accent 2"/>
    <w:uiPriority w:val="99"/>
    <w:qFormat/>
    <w:tblPr>
      <w:tblCellMar>
        <w:left w:w="0" w:type="dxa"/>
        <w:top w:w="0" w:type="dxa"/>
        <w:right w:w="0" w:type="dxa"/>
        <w:bottom w:w="0" w:type="dxa"/>
      </w:tblCellMar>
    </w:tblPr>
  </w:style>
  <w:style w:type="table" w:styleId="1100" w:customStyle="1">
    <w:name w:val="Grid Table 7 Colorful - Accent 4"/>
    <w:uiPriority w:val="99"/>
    <w:qFormat/>
    <w:tblPr>
      <w:tblCellMar>
        <w:left w:w="0" w:type="dxa"/>
        <w:top w:w="0" w:type="dxa"/>
        <w:right w:w="0" w:type="dxa"/>
        <w:bottom w:w="0" w:type="dxa"/>
      </w:tblCellMar>
    </w:tblPr>
  </w:style>
  <w:style w:type="table" w:styleId="1101" w:customStyle="1">
    <w:name w:val="List Table 1 Light - Accent 6"/>
    <w:uiPriority w:val="99"/>
    <w:qFormat/>
    <w:tblPr>
      <w:tblCellMar>
        <w:left w:w="0" w:type="dxa"/>
        <w:top w:w="0" w:type="dxa"/>
        <w:right w:w="0" w:type="dxa"/>
        <w:bottom w:w="0" w:type="dxa"/>
      </w:tblCellMar>
    </w:tblPr>
  </w:style>
  <w:style w:type="table" w:styleId="1102" w:customStyle="1">
    <w:name w:val="List Table 3 - Accent 1"/>
    <w:uiPriority w:val="99"/>
    <w:qFormat/>
    <w:tblPr>
      <w:tblCellMar>
        <w:left w:w="0" w:type="dxa"/>
        <w:top w:w="0" w:type="dxa"/>
        <w:right w:w="0" w:type="dxa"/>
        <w:bottom w:w="0" w:type="dxa"/>
      </w:tblCellMar>
    </w:tblPr>
  </w:style>
  <w:style w:type="table" w:styleId="1103" w:customStyle="1">
    <w:name w:val="List Table 2 - Accent 1"/>
    <w:uiPriority w:val="99"/>
    <w:qFormat/>
    <w:tblPr>
      <w:tblCellMar>
        <w:left w:w="0" w:type="dxa"/>
        <w:top w:w="0" w:type="dxa"/>
        <w:right w:w="0" w:type="dxa"/>
        <w:bottom w:w="0" w:type="dxa"/>
      </w:tblCellMar>
    </w:tblPr>
  </w:style>
  <w:style w:type="table" w:styleId="1104" w:customStyle="1">
    <w:name w:val="Grid Table 7 Colorful - Accent 6"/>
    <w:uiPriority w:val="99"/>
    <w:qFormat/>
    <w:tblPr>
      <w:tblCellMar>
        <w:left w:w="0" w:type="dxa"/>
        <w:top w:w="0" w:type="dxa"/>
        <w:right w:w="0" w:type="dxa"/>
        <w:bottom w:w="0" w:type="dxa"/>
      </w:tblCellMar>
    </w:tblPr>
  </w:style>
  <w:style w:type="table" w:styleId="1105" w:customStyle="1">
    <w:name w:val="List Table 2 - Accent 6"/>
    <w:uiPriority w:val="99"/>
    <w:qFormat/>
    <w:tblPr>
      <w:tblCellMar>
        <w:left w:w="0" w:type="dxa"/>
        <w:top w:w="0" w:type="dxa"/>
        <w:right w:w="0" w:type="dxa"/>
        <w:bottom w:w="0" w:type="dxa"/>
      </w:tblCellMar>
    </w:tblPr>
  </w:style>
  <w:style w:type="table" w:styleId="1106" w:customStyle="1">
    <w:name w:val="List Table 1 Light - Accent 1"/>
    <w:uiPriority w:val="99"/>
    <w:qFormat/>
    <w:tblPr>
      <w:tblCellMar>
        <w:left w:w="0" w:type="dxa"/>
        <w:top w:w="0" w:type="dxa"/>
        <w:right w:w="0" w:type="dxa"/>
        <w:bottom w:w="0" w:type="dxa"/>
      </w:tblCellMar>
    </w:tblPr>
  </w:style>
  <w:style w:type="table" w:styleId="1107" w:customStyle="1">
    <w:name w:val="List Table 6 Colorful - Accent 4"/>
    <w:uiPriority w:val="99"/>
    <w:qFormat/>
    <w:tblPr>
      <w:tblCellMar>
        <w:left w:w="0" w:type="dxa"/>
        <w:top w:w="0" w:type="dxa"/>
        <w:right w:w="0" w:type="dxa"/>
        <w:bottom w:w="0" w:type="dxa"/>
      </w:tblCellMar>
    </w:tblPr>
  </w:style>
  <w:style w:type="table" w:styleId="1108" w:customStyle="1">
    <w:name w:val="List Table 1 Light - Accent 2"/>
    <w:uiPriority w:val="99"/>
    <w:qFormat/>
    <w:tblPr>
      <w:tblCellMar>
        <w:left w:w="0" w:type="dxa"/>
        <w:top w:w="0" w:type="dxa"/>
        <w:right w:w="0" w:type="dxa"/>
        <w:bottom w:w="0" w:type="dxa"/>
      </w:tblCellMar>
    </w:tblPr>
  </w:style>
  <w:style w:type="table" w:styleId="1109" w:customStyle="1">
    <w:name w:val="List Table 7 Colorful - Accent 4"/>
    <w:uiPriority w:val="99"/>
    <w:qFormat/>
    <w:tblPr>
      <w:tblCellMar>
        <w:left w:w="0" w:type="dxa"/>
        <w:top w:w="0" w:type="dxa"/>
        <w:right w:w="0" w:type="dxa"/>
        <w:bottom w:w="0" w:type="dxa"/>
      </w:tblCellMar>
    </w:tblPr>
  </w:style>
  <w:style w:type="table" w:styleId="1110" w:customStyle="1">
    <w:name w:val="List Table 1 Light - Accent 3"/>
    <w:uiPriority w:val="99"/>
    <w:qFormat/>
    <w:tblPr>
      <w:tblCellMar>
        <w:left w:w="0" w:type="dxa"/>
        <w:top w:w="0" w:type="dxa"/>
        <w:right w:w="0" w:type="dxa"/>
        <w:bottom w:w="0" w:type="dxa"/>
      </w:tblCellMar>
    </w:tblPr>
  </w:style>
  <w:style w:type="table" w:styleId="1111" w:customStyle="1">
    <w:name w:val="List Table 4 - Accent 1"/>
    <w:uiPriority w:val="99"/>
    <w:qFormat/>
    <w:tblPr>
      <w:tblCellMar>
        <w:left w:w="0" w:type="dxa"/>
        <w:top w:w="0" w:type="dxa"/>
        <w:right w:w="0" w:type="dxa"/>
        <w:bottom w:w="0" w:type="dxa"/>
      </w:tblCellMar>
    </w:tblPr>
  </w:style>
  <w:style w:type="table" w:styleId="1112" w:customStyle="1">
    <w:name w:val="Lined - Accent 6"/>
    <w:uiPriority w:val="99"/>
    <w:qFormat/>
    <w:rPr>
      <w:color w:val="404040"/>
    </w:rPr>
    <w:tblPr>
      <w:tblCellMar>
        <w:left w:w="0" w:type="dxa"/>
        <w:top w:w="0" w:type="dxa"/>
        <w:right w:w="0" w:type="dxa"/>
        <w:bottom w:w="0" w:type="dxa"/>
      </w:tblCellMar>
    </w:tblPr>
  </w:style>
  <w:style w:type="paragraph" w:styleId="1113" w:customStyle="1">
    <w:name w:val="UserStyle_0"/>
    <w:basedOn w:val="836"/>
    <w:next w:val="836"/>
    <w:uiPriority w:val="0"/>
    <w:qFormat/>
  </w:style>
  <w:style w:type="numbering" w:styleId="1114"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header" Target="header5.xml" /><Relationship Id="rId14" Type="http://schemas.openxmlformats.org/officeDocument/2006/relationships/footer" Target="footer1.xml" /><Relationship Id="rId15" Type="http://schemas.openxmlformats.org/officeDocument/2006/relationships/footer" Target="footer2.xml" /><Relationship Id="rId16" Type="http://schemas.openxmlformats.org/officeDocument/2006/relationships/footer" Target="footer3.xml" /><Relationship Id="rId17" Type="http://schemas.openxmlformats.org/officeDocument/2006/relationships/footer" Target="footer4.xml" /><Relationship Id="rId18" Type="http://schemas.openxmlformats.org/officeDocument/2006/relationships/customXml" Target="../customXml/item1.xml" /><Relationship Id="rId19" Type="http://schemas.openxmlformats.org/officeDocument/2006/relationships/image" Target="media/image1.png"/><Relationship Id="rId20" Type="http://schemas.openxmlformats.org/officeDocument/2006/relationships/image" Target="media/image2.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_rels/header5.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dc:creator>
  <cp:lastModifiedBy>代理事业三组</cp:lastModifiedBy>
  <cp:revision>19</cp:revision>
  <dcterms:created xsi:type="dcterms:W3CDTF">2023-11-15T03:32:00Z</dcterms:created>
  <dcterms:modified xsi:type="dcterms:W3CDTF">2025-11-11T06:46:05Z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eyJoZGlkIjoiMWViZjBkNmIyNWNhNjliNDFmMmZlNGExM2ZkZTU1YjgiLCJ1c2VySWQiOiIzNTQ0MjAwNzAifQ==</vt:lpwstr>
  </property>
  <property fmtid="{D5CDD505-2E9C-101B-9397-08002B2CF9AE}" pid="3" name="KSOProductBuildVer">
    <vt:lpwstr>2052-12.1.0.23125</vt:lpwstr>
  </property>
  <property fmtid="{D5CDD505-2E9C-101B-9397-08002B2CF9AE}" pid="4" name="ICV">
    <vt:lpwstr>21155204D9B143F6B2CF39A14EBFB310_13</vt:lpwstr>
  </property>
</Properties>
</file>